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19A" w:rsidRPr="003B1FCE" w:rsidRDefault="000D019A" w:rsidP="000D019A">
      <w:pPr>
        <w:ind w:right="51"/>
        <w:jc w:val="center"/>
        <w:rPr>
          <w:rFonts w:ascii="Arial" w:hAnsi="Arial" w:cs="Arial"/>
          <w:b/>
          <w:color w:val="000000" w:themeColor="text1"/>
          <w:sz w:val="32"/>
          <w:szCs w:val="32"/>
        </w:rPr>
      </w:pPr>
      <w:bookmarkStart w:id="0" w:name="_Toc23253006"/>
    </w:p>
    <w:p w:rsidR="000D019A" w:rsidRPr="003B1FCE" w:rsidRDefault="000D019A" w:rsidP="000D019A">
      <w:pPr>
        <w:ind w:right="51"/>
        <w:jc w:val="center"/>
        <w:rPr>
          <w:rFonts w:ascii="Arial" w:hAnsi="Arial" w:cs="Arial"/>
          <w:b/>
          <w:color w:val="000000" w:themeColor="text1"/>
          <w:sz w:val="32"/>
          <w:szCs w:val="32"/>
        </w:rPr>
      </w:pPr>
    </w:p>
    <w:p w:rsidR="000D019A" w:rsidRPr="003B1FCE" w:rsidRDefault="000D019A" w:rsidP="000D019A">
      <w:pPr>
        <w:ind w:right="51"/>
        <w:jc w:val="center"/>
        <w:rPr>
          <w:rFonts w:ascii="Arial" w:hAnsi="Arial" w:cs="Arial"/>
          <w:b/>
          <w:color w:val="000000" w:themeColor="text1"/>
          <w:sz w:val="32"/>
          <w:szCs w:val="32"/>
        </w:rPr>
      </w:pPr>
    </w:p>
    <w:p w:rsidR="000D019A" w:rsidRPr="003B1FCE" w:rsidRDefault="000D019A" w:rsidP="000D019A">
      <w:pPr>
        <w:ind w:right="51"/>
        <w:jc w:val="center"/>
        <w:rPr>
          <w:rFonts w:ascii="Arial" w:hAnsi="Arial" w:cs="Arial"/>
          <w:b/>
          <w:color w:val="000000" w:themeColor="text1"/>
          <w:sz w:val="32"/>
          <w:szCs w:val="32"/>
        </w:rPr>
      </w:pPr>
    </w:p>
    <w:p w:rsidR="000D019A" w:rsidRPr="003B1FCE" w:rsidRDefault="000D019A" w:rsidP="000D019A">
      <w:pPr>
        <w:ind w:right="51"/>
        <w:jc w:val="center"/>
        <w:rPr>
          <w:rFonts w:ascii="Arial" w:hAnsi="Arial" w:cs="Arial"/>
          <w:b/>
          <w:color w:val="000000" w:themeColor="text1"/>
          <w:sz w:val="32"/>
          <w:szCs w:val="32"/>
        </w:rPr>
      </w:pPr>
    </w:p>
    <w:p w:rsidR="000D019A" w:rsidRPr="003B1FCE" w:rsidRDefault="000D019A" w:rsidP="000D019A">
      <w:pPr>
        <w:ind w:right="51"/>
        <w:jc w:val="center"/>
        <w:rPr>
          <w:rFonts w:ascii="Arial" w:hAnsi="Arial" w:cs="Arial"/>
          <w:b/>
          <w:color w:val="000000" w:themeColor="text1"/>
          <w:sz w:val="32"/>
          <w:szCs w:val="32"/>
        </w:rPr>
      </w:pPr>
    </w:p>
    <w:p w:rsidR="000D019A" w:rsidRPr="003B1FCE" w:rsidRDefault="000D019A" w:rsidP="000D019A">
      <w:pPr>
        <w:ind w:right="51"/>
        <w:jc w:val="center"/>
        <w:rPr>
          <w:rFonts w:ascii="Arial" w:hAnsi="Arial" w:cs="Arial"/>
          <w:b/>
          <w:color w:val="000000" w:themeColor="text1"/>
          <w:sz w:val="32"/>
          <w:szCs w:val="32"/>
        </w:rPr>
      </w:pPr>
    </w:p>
    <w:p w:rsidR="000D019A" w:rsidRPr="003B1FCE" w:rsidRDefault="000D019A" w:rsidP="000D019A">
      <w:pPr>
        <w:ind w:right="51"/>
        <w:jc w:val="center"/>
        <w:rPr>
          <w:rFonts w:ascii="Arial" w:hAnsi="Arial" w:cs="Arial"/>
          <w:b/>
          <w:color w:val="000000" w:themeColor="text1"/>
          <w:sz w:val="32"/>
          <w:szCs w:val="32"/>
        </w:rPr>
      </w:pPr>
    </w:p>
    <w:p w:rsidR="000D019A" w:rsidRPr="003B1FCE" w:rsidRDefault="000D019A" w:rsidP="000D019A">
      <w:pPr>
        <w:ind w:right="51"/>
        <w:jc w:val="center"/>
        <w:rPr>
          <w:rFonts w:ascii="Arial" w:hAnsi="Arial" w:cs="Arial"/>
          <w:b/>
          <w:color w:val="000000" w:themeColor="text1"/>
          <w:sz w:val="32"/>
          <w:szCs w:val="32"/>
        </w:rPr>
      </w:pPr>
    </w:p>
    <w:p w:rsidR="000D019A" w:rsidRPr="003B1FCE" w:rsidRDefault="000D019A" w:rsidP="000D019A">
      <w:pPr>
        <w:ind w:right="51"/>
        <w:jc w:val="center"/>
        <w:rPr>
          <w:rFonts w:ascii="Arial" w:hAnsi="Arial" w:cs="Arial"/>
          <w:b/>
          <w:color w:val="000000" w:themeColor="text1"/>
          <w:sz w:val="32"/>
          <w:szCs w:val="32"/>
        </w:rPr>
      </w:pPr>
    </w:p>
    <w:p w:rsidR="000D019A" w:rsidRPr="003B1FCE" w:rsidRDefault="000D019A" w:rsidP="000D019A">
      <w:pPr>
        <w:ind w:right="51"/>
        <w:jc w:val="center"/>
        <w:rPr>
          <w:rFonts w:ascii="Arial" w:hAnsi="Arial" w:cs="Arial"/>
          <w:b/>
          <w:color w:val="000000" w:themeColor="text1"/>
          <w:sz w:val="32"/>
          <w:szCs w:val="32"/>
        </w:rPr>
      </w:pPr>
    </w:p>
    <w:p w:rsidR="000D019A" w:rsidRPr="003B1FCE" w:rsidRDefault="000D019A" w:rsidP="000D019A">
      <w:pPr>
        <w:ind w:right="51"/>
        <w:jc w:val="center"/>
        <w:rPr>
          <w:rFonts w:ascii="Arial" w:hAnsi="Arial" w:cs="Arial"/>
          <w:b/>
          <w:color w:val="000000" w:themeColor="text1"/>
          <w:sz w:val="32"/>
          <w:szCs w:val="32"/>
        </w:rPr>
      </w:pPr>
    </w:p>
    <w:p w:rsidR="000D019A" w:rsidRPr="003B1FCE" w:rsidRDefault="000D019A" w:rsidP="000D019A">
      <w:pPr>
        <w:ind w:right="51"/>
        <w:jc w:val="center"/>
        <w:rPr>
          <w:rFonts w:ascii="Arial" w:hAnsi="Arial" w:cs="Arial"/>
          <w:b/>
          <w:sz w:val="32"/>
          <w:szCs w:val="32"/>
        </w:rPr>
      </w:pPr>
      <w:r w:rsidRPr="003B1FCE">
        <w:rPr>
          <w:rFonts w:ascii="Arial" w:hAnsi="Arial" w:cs="Arial"/>
          <w:b/>
          <w:color w:val="000000" w:themeColor="text1"/>
          <w:sz w:val="32"/>
          <w:szCs w:val="32"/>
        </w:rPr>
        <w:t>INFORME DE RESULTADOS DE</w:t>
      </w:r>
      <w:r w:rsidRPr="003B1FCE">
        <w:rPr>
          <w:rFonts w:ascii="Arial" w:hAnsi="Arial" w:cs="Arial"/>
          <w:b/>
          <w:sz w:val="32"/>
          <w:szCs w:val="32"/>
        </w:rPr>
        <w:t xml:space="preserve"> LA TERCERA EVALUACIÓN VINCULANTE DOS MIL DIECINUEVE, RESPECTO DE LAS RECOMENDACIONES Y OBSERVACIONES EMITIDAS A LOS CIENTO TREINTA Y NUEVE SUJETOS OBLIGADOS EN LA PRIMERA EVALUACIÓN VINCULANTE DOS MIL DIECINUEVE</w:t>
      </w:r>
    </w:p>
    <w:p w:rsidR="000D019A" w:rsidRPr="003B1FCE" w:rsidRDefault="000D019A" w:rsidP="000D019A">
      <w:pPr>
        <w:ind w:right="51"/>
        <w:jc w:val="center"/>
        <w:rPr>
          <w:rFonts w:ascii="Arial" w:hAnsi="Arial" w:cs="Arial"/>
          <w:b/>
          <w:sz w:val="32"/>
          <w:szCs w:val="32"/>
        </w:rPr>
      </w:pPr>
    </w:p>
    <w:p w:rsidR="000D019A" w:rsidRPr="003B1FCE" w:rsidRDefault="000D019A" w:rsidP="000D019A">
      <w:pPr>
        <w:ind w:right="51"/>
        <w:jc w:val="right"/>
        <w:rPr>
          <w:rFonts w:ascii="Arial" w:hAnsi="Arial" w:cs="Arial"/>
          <w:b/>
          <w:sz w:val="32"/>
          <w:szCs w:val="32"/>
        </w:rPr>
      </w:pPr>
    </w:p>
    <w:p w:rsidR="000D019A" w:rsidRPr="003B1FCE" w:rsidRDefault="000D019A" w:rsidP="000D019A">
      <w:pPr>
        <w:ind w:right="51"/>
        <w:jc w:val="right"/>
        <w:rPr>
          <w:rFonts w:ascii="Arial" w:hAnsi="Arial" w:cs="Arial"/>
          <w:b/>
          <w:sz w:val="32"/>
          <w:szCs w:val="32"/>
        </w:rPr>
      </w:pPr>
    </w:p>
    <w:p w:rsidR="000D019A" w:rsidRPr="003B1FCE" w:rsidRDefault="000D019A" w:rsidP="000D019A">
      <w:pPr>
        <w:ind w:right="51"/>
        <w:jc w:val="right"/>
        <w:rPr>
          <w:rFonts w:ascii="Arial" w:hAnsi="Arial" w:cs="Arial"/>
          <w:b/>
          <w:sz w:val="32"/>
          <w:szCs w:val="32"/>
        </w:rPr>
      </w:pPr>
    </w:p>
    <w:p w:rsidR="000D019A" w:rsidRPr="003B1FCE" w:rsidRDefault="000D019A" w:rsidP="000D019A">
      <w:pPr>
        <w:ind w:right="51"/>
        <w:jc w:val="right"/>
        <w:rPr>
          <w:rFonts w:ascii="Arial" w:hAnsi="Arial" w:cs="Arial"/>
          <w:b/>
          <w:sz w:val="32"/>
          <w:szCs w:val="32"/>
        </w:rPr>
      </w:pPr>
    </w:p>
    <w:p w:rsidR="000D019A" w:rsidRPr="003B1FCE" w:rsidRDefault="000D019A" w:rsidP="000D019A">
      <w:pPr>
        <w:ind w:right="51"/>
        <w:jc w:val="right"/>
        <w:rPr>
          <w:rFonts w:ascii="Arial" w:hAnsi="Arial" w:cs="Arial"/>
          <w:b/>
          <w:sz w:val="32"/>
          <w:szCs w:val="32"/>
        </w:rPr>
      </w:pPr>
    </w:p>
    <w:p w:rsidR="000D019A" w:rsidRPr="003B1FCE" w:rsidRDefault="000D019A" w:rsidP="000D019A">
      <w:pPr>
        <w:ind w:right="51"/>
        <w:jc w:val="right"/>
        <w:rPr>
          <w:rFonts w:ascii="Arial" w:hAnsi="Arial" w:cs="Arial"/>
          <w:b/>
          <w:sz w:val="32"/>
          <w:szCs w:val="32"/>
        </w:rPr>
      </w:pPr>
    </w:p>
    <w:p w:rsidR="000D019A" w:rsidRPr="003B1FCE" w:rsidRDefault="000D019A" w:rsidP="000D019A">
      <w:pPr>
        <w:ind w:right="51"/>
        <w:jc w:val="right"/>
        <w:rPr>
          <w:rFonts w:ascii="Arial" w:hAnsi="Arial" w:cs="Arial"/>
          <w:b/>
          <w:sz w:val="32"/>
          <w:szCs w:val="32"/>
        </w:rPr>
      </w:pPr>
    </w:p>
    <w:p w:rsidR="000D019A" w:rsidRPr="003B1FCE" w:rsidRDefault="000D019A" w:rsidP="000D019A">
      <w:pPr>
        <w:ind w:right="51"/>
        <w:jc w:val="right"/>
        <w:rPr>
          <w:rFonts w:ascii="Arial" w:hAnsi="Arial" w:cs="Arial"/>
          <w:b/>
          <w:sz w:val="32"/>
          <w:szCs w:val="32"/>
        </w:rPr>
      </w:pPr>
    </w:p>
    <w:p w:rsidR="000D019A" w:rsidRPr="003B1FCE" w:rsidRDefault="000D019A" w:rsidP="000D019A">
      <w:pPr>
        <w:ind w:right="51"/>
        <w:jc w:val="right"/>
        <w:rPr>
          <w:rFonts w:ascii="Arial" w:hAnsi="Arial" w:cs="Arial"/>
          <w:b/>
          <w:sz w:val="32"/>
          <w:szCs w:val="32"/>
        </w:rPr>
      </w:pPr>
    </w:p>
    <w:p w:rsidR="000D019A" w:rsidRPr="003B1FCE" w:rsidRDefault="000D019A" w:rsidP="000D019A">
      <w:pPr>
        <w:ind w:right="51"/>
        <w:jc w:val="right"/>
        <w:rPr>
          <w:rFonts w:ascii="Arial" w:hAnsi="Arial" w:cs="Arial"/>
          <w:b/>
        </w:rPr>
      </w:pPr>
      <w:r w:rsidRPr="003B1FCE">
        <w:rPr>
          <w:rFonts w:ascii="Arial" w:hAnsi="Arial" w:cs="Arial"/>
          <w:b/>
          <w:sz w:val="32"/>
          <w:szCs w:val="32"/>
        </w:rPr>
        <w:t>11 de diciembre de 2019</w:t>
      </w:r>
    </w:p>
    <w:p w:rsidR="000D019A" w:rsidRPr="003B1FCE" w:rsidRDefault="000D019A">
      <w:pPr>
        <w:rPr>
          <w:rFonts w:ascii="Arial" w:eastAsiaTheme="majorEastAsia" w:hAnsi="Arial" w:cs="Arial"/>
          <w:b/>
          <w:color w:val="000000" w:themeColor="text1"/>
          <w:lang w:eastAsia="en-US"/>
        </w:rPr>
      </w:pPr>
    </w:p>
    <w:p w:rsidR="000D019A" w:rsidRPr="003B1FCE" w:rsidRDefault="000D019A">
      <w:pPr>
        <w:rPr>
          <w:rFonts w:ascii="Arial" w:eastAsiaTheme="majorEastAsia" w:hAnsi="Arial" w:cs="Arial"/>
          <w:b/>
          <w:color w:val="000000" w:themeColor="text1"/>
          <w:lang w:eastAsia="en-US"/>
        </w:rPr>
      </w:pPr>
      <w:r w:rsidRPr="003B1FCE">
        <w:rPr>
          <w:rFonts w:ascii="Arial" w:hAnsi="Arial" w:cs="Arial"/>
          <w:b/>
          <w:color w:val="000000" w:themeColor="text1"/>
        </w:rPr>
        <w:br w:type="page"/>
      </w:r>
    </w:p>
    <w:sdt>
      <w:sdtPr>
        <w:rPr>
          <w:rFonts w:ascii="Times New Roman" w:eastAsia="Times New Roman" w:hAnsi="Times New Roman" w:cs="Times New Roman"/>
          <w:b w:val="0"/>
          <w:bCs w:val="0"/>
          <w:color w:val="auto"/>
          <w:sz w:val="22"/>
          <w:szCs w:val="22"/>
          <w:lang w:val="es-ES"/>
        </w:rPr>
        <w:id w:val="2112705382"/>
        <w:docPartObj>
          <w:docPartGallery w:val="Table of Contents"/>
          <w:docPartUnique/>
        </w:docPartObj>
      </w:sdtPr>
      <w:sdtEndPr>
        <w:rPr>
          <w:sz w:val="24"/>
          <w:szCs w:val="24"/>
        </w:rPr>
      </w:sdtEndPr>
      <w:sdtContent>
        <w:p w:rsidR="000D019A" w:rsidRPr="00B018FB" w:rsidRDefault="00EB2611" w:rsidP="00EB2611">
          <w:pPr>
            <w:pStyle w:val="TtuloTDC"/>
            <w:jc w:val="center"/>
            <w:rPr>
              <w:rFonts w:ascii="Arial" w:hAnsi="Arial" w:cs="Arial"/>
              <w:color w:val="000000" w:themeColor="text1"/>
              <w:sz w:val="22"/>
              <w:szCs w:val="22"/>
              <w:lang w:val="es-ES"/>
            </w:rPr>
          </w:pPr>
          <w:r w:rsidRPr="00B018FB">
            <w:rPr>
              <w:rFonts w:ascii="Arial" w:hAnsi="Arial" w:cs="Arial"/>
              <w:color w:val="000000" w:themeColor="text1"/>
              <w:sz w:val="22"/>
              <w:szCs w:val="22"/>
              <w:lang w:val="es-ES"/>
            </w:rPr>
            <w:t>ÍNDICE</w:t>
          </w:r>
        </w:p>
        <w:p w:rsidR="00B018FB" w:rsidRPr="00B018FB" w:rsidRDefault="000D019A">
          <w:pPr>
            <w:pStyle w:val="TDC1"/>
            <w:tabs>
              <w:tab w:val="right" w:leader="dot" w:pos="8828"/>
            </w:tabs>
            <w:rPr>
              <w:rFonts w:eastAsiaTheme="minorEastAsia" w:cstheme="minorBidi"/>
              <w:b w:val="0"/>
              <w:bCs w:val="0"/>
              <w:i w:val="0"/>
              <w:iCs w:val="0"/>
              <w:noProof/>
              <w:sz w:val="22"/>
              <w:szCs w:val="22"/>
              <w:lang w:val="es-MX"/>
            </w:rPr>
          </w:pPr>
          <w:r w:rsidRPr="00B018FB">
            <w:rPr>
              <w:rFonts w:ascii="Arial" w:hAnsi="Arial" w:cs="Arial"/>
              <w:b w:val="0"/>
              <w:bCs w:val="0"/>
              <w:sz w:val="22"/>
              <w:szCs w:val="22"/>
            </w:rPr>
            <w:fldChar w:fldCharType="begin"/>
          </w:r>
          <w:r w:rsidRPr="00B018FB">
            <w:rPr>
              <w:rFonts w:ascii="Arial" w:hAnsi="Arial" w:cs="Arial"/>
              <w:sz w:val="22"/>
              <w:szCs w:val="22"/>
            </w:rPr>
            <w:instrText>TOC \o "1-3" \h \z \u</w:instrText>
          </w:r>
          <w:r w:rsidRPr="00B018FB">
            <w:rPr>
              <w:rFonts w:ascii="Arial" w:hAnsi="Arial" w:cs="Arial"/>
              <w:b w:val="0"/>
              <w:bCs w:val="0"/>
              <w:sz w:val="22"/>
              <w:szCs w:val="22"/>
            </w:rPr>
            <w:fldChar w:fldCharType="separate"/>
          </w:r>
          <w:hyperlink w:anchor="_Toc26913244" w:history="1">
            <w:r w:rsidR="00B018FB" w:rsidRPr="00B018FB">
              <w:rPr>
                <w:rStyle w:val="Hipervnculo"/>
                <w:rFonts w:ascii="Arial" w:hAnsi="Arial" w:cs="Arial"/>
                <w:noProof/>
                <w:sz w:val="22"/>
                <w:szCs w:val="22"/>
              </w:rPr>
              <w:t>INTRODUCCIÓN</w:t>
            </w:r>
            <w:r w:rsidR="00B018FB" w:rsidRPr="00B018FB">
              <w:rPr>
                <w:noProof/>
                <w:webHidden/>
                <w:sz w:val="22"/>
                <w:szCs w:val="22"/>
              </w:rPr>
              <w:tab/>
            </w:r>
            <w:r w:rsidR="00B018FB" w:rsidRPr="00B018FB">
              <w:rPr>
                <w:noProof/>
                <w:webHidden/>
                <w:sz w:val="22"/>
                <w:szCs w:val="22"/>
              </w:rPr>
              <w:fldChar w:fldCharType="begin"/>
            </w:r>
            <w:r w:rsidR="00B018FB" w:rsidRPr="00B018FB">
              <w:rPr>
                <w:noProof/>
                <w:webHidden/>
                <w:sz w:val="22"/>
                <w:szCs w:val="22"/>
              </w:rPr>
              <w:instrText xml:space="preserve"> PAGEREF _Toc26913244 \h </w:instrText>
            </w:r>
            <w:r w:rsidR="00B018FB" w:rsidRPr="00B018FB">
              <w:rPr>
                <w:noProof/>
                <w:webHidden/>
                <w:sz w:val="22"/>
                <w:szCs w:val="22"/>
              </w:rPr>
            </w:r>
            <w:r w:rsidR="00B018FB" w:rsidRPr="00B018FB">
              <w:rPr>
                <w:noProof/>
                <w:webHidden/>
                <w:sz w:val="22"/>
                <w:szCs w:val="22"/>
              </w:rPr>
              <w:fldChar w:fldCharType="separate"/>
            </w:r>
            <w:r w:rsidR="00322811">
              <w:rPr>
                <w:noProof/>
                <w:webHidden/>
                <w:sz w:val="22"/>
                <w:szCs w:val="22"/>
              </w:rPr>
              <w:t>3</w:t>
            </w:r>
            <w:r w:rsidR="00B018FB" w:rsidRPr="00B018FB">
              <w:rPr>
                <w:noProof/>
                <w:webHidden/>
                <w:sz w:val="22"/>
                <w:szCs w:val="22"/>
              </w:rPr>
              <w:fldChar w:fldCharType="end"/>
            </w:r>
          </w:hyperlink>
        </w:p>
        <w:p w:rsidR="00B018FB" w:rsidRPr="00B018FB" w:rsidRDefault="00465E85">
          <w:pPr>
            <w:pStyle w:val="TDC1"/>
            <w:tabs>
              <w:tab w:val="right" w:leader="dot" w:pos="8828"/>
            </w:tabs>
            <w:rPr>
              <w:rFonts w:eastAsiaTheme="minorEastAsia" w:cstheme="minorBidi"/>
              <w:b w:val="0"/>
              <w:bCs w:val="0"/>
              <w:i w:val="0"/>
              <w:iCs w:val="0"/>
              <w:noProof/>
              <w:sz w:val="22"/>
              <w:szCs w:val="22"/>
              <w:lang w:val="es-MX"/>
            </w:rPr>
          </w:pPr>
          <w:hyperlink w:anchor="_Toc26913245" w:history="1">
            <w:r w:rsidR="00B018FB" w:rsidRPr="00B018FB">
              <w:rPr>
                <w:rStyle w:val="Hipervnculo"/>
                <w:rFonts w:ascii="Arial" w:hAnsi="Arial" w:cs="Arial"/>
                <w:noProof/>
                <w:sz w:val="22"/>
                <w:szCs w:val="22"/>
              </w:rPr>
              <w:t>ANTECEDENTES</w:t>
            </w:r>
            <w:r w:rsidR="00B018FB" w:rsidRPr="00B018FB">
              <w:rPr>
                <w:noProof/>
                <w:webHidden/>
                <w:sz w:val="22"/>
                <w:szCs w:val="22"/>
              </w:rPr>
              <w:tab/>
            </w:r>
            <w:r w:rsidR="00B018FB" w:rsidRPr="00B018FB">
              <w:rPr>
                <w:noProof/>
                <w:webHidden/>
                <w:sz w:val="22"/>
                <w:szCs w:val="22"/>
              </w:rPr>
              <w:fldChar w:fldCharType="begin"/>
            </w:r>
            <w:r w:rsidR="00B018FB" w:rsidRPr="00B018FB">
              <w:rPr>
                <w:noProof/>
                <w:webHidden/>
                <w:sz w:val="22"/>
                <w:szCs w:val="22"/>
              </w:rPr>
              <w:instrText xml:space="preserve"> PAGEREF _Toc26913245 \h </w:instrText>
            </w:r>
            <w:r w:rsidR="00B018FB" w:rsidRPr="00B018FB">
              <w:rPr>
                <w:noProof/>
                <w:webHidden/>
                <w:sz w:val="22"/>
                <w:szCs w:val="22"/>
              </w:rPr>
            </w:r>
            <w:r w:rsidR="00B018FB" w:rsidRPr="00B018FB">
              <w:rPr>
                <w:noProof/>
                <w:webHidden/>
                <w:sz w:val="22"/>
                <w:szCs w:val="22"/>
              </w:rPr>
              <w:fldChar w:fldCharType="separate"/>
            </w:r>
            <w:r w:rsidR="00322811">
              <w:rPr>
                <w:noProof/>
                <w:webHidden/>
                <w:sz w:val="22"/>
                <w:szCs w:val="22"/>
              </w:rPr>
              <w:t>5</w:t>
            </w:r>
            <w:r w:rsidR="00B018FB" w:rsidRPr="00B018FB">
              <w:rPr>
                <w:noProof/>
                <w:webHidden/>
                <w:sz w:val="22"/>
                <w:szCs w:val="22"/>
              </w:rPr>
              <w:fldChar w:fldCharType="end"/>
            </w:r>
          </w:hyperlink>
        </w:p>
        <w:p w:rsidR="00B018FB" w:rsidRPr="00B018FB" w:rsidRDefault="00465E85">
          <w:pPr>
            <w:pStyle w:val="TDC1"/>
            <w:tabs>
              <w:tab w:val="right" w:leader="dot" w:pos="8828"/>
            </w:tabs>
            <w:rPr>
              <w:rFonts w:eastAsiaTheme="minorEastAsia" w:cstheme="minorBidi"/>
              <w:b w:val="0"/>
              <w:bCs w:val="0"/>
              <w:i w:val="0"/>
              <w:iCs w:val="0"/>
              <w:noProof/>
              <w:sz w:val="22"/>
              <w:szCs w:val="22"/>
              <w:lang w:val="es-MX"/>
            </w:rPr>
          </w:pPr>
          <w:hyperlink w:anchor="_Toc26913246" w:history="1">
            <w:r w:rsidR="00B018FB" w:rsidRPr="00B018FB">
              <w:rPr>
                <w:rStyle w:val="Hipervnculo"/>
                <w:rFonts w:ascii="Arial" w:hAnsi="Arial" w:cs="Arial"/>
                <w:noProof/>
                <w:sz w:val="22"/>
                <w:szCs w:val="22"/>
              </w:rPr>
              <w:t>METODOLOGÍA</w:t>
            </w:r>
            <w:r w:rsidR="00B018FB" w:rsidRPr="00B018FB">
              <w:rPr>
                <w:noProof/>
                <w:webHidden/>
                <w:sz w:val="22"/>
                <w:szCs w:val="22"/>
              </w:rPr>
              <w:tab/>
            </w:r>
            <w:r w:rsidR="00B018FB" w:rsidRPr="00B018FB">
              <w:rPr>
                <w:noProof/>
                <w:webHidden/>
                <w:sz w:val="22"/>
                <w:szCs w:val="22"/>
              </w:rPr>
              <w:fldChar w:fldCharType="begin"/>
            </w:r>
            <w:r w:rsidR="00B018FB" w:rsidRPr="00B018FB">
              <w:rPr>
                <w:noProof/>
                <w:webHidden/>
                <w:sz w:val="22"/>
                <w:szCs w:val="22"/>
              </w:rPr>
              <w:instrText xml:space="preserve"> PAGEREF _Toc26913246 \h </w:instrText>
            </w:r>
            <w:r w:rsidR="00B018FB" w:rsidRPr="00B018FB">
              <w:rPr>
                <w:noProof/>
                <w:webHidden/>
                <w:sz w:val="22"/>
                <w:szCs w:val="22"/>
              </w:rPr>
            </w:r>
            <w:r w:rsidR="00B018FB" w:rsidRPr="00B018FB">
              <w:rPr>
                <w:noProof/>
                <w:webHidden/>
                <w:sz w:val="22"/>
                <w:szCs w:val="22"/>
              </w:rPr>
              <w:fldChar w:fldCharType="separate"/>
            </w:r>
            <w:r w:rsidR="00322811">
              <w:rPr>
                <w:noProof/>
                <w:webHidden/>
                <w:sz w:val="22"/>
                <w:szCs w:val="22"/>
              </w:rPr>
              <w:t>8</w:t>
            </w:r>
            <w:r w:rsidR="00B018FB" w:rsidRPr="00B018FB">
              <w:rPr>
                <w:noProof/>
                <w:webHidden/>
                <w:sz w:val="22"/>
                <w:szCs w:val="22"/>
              </w:rPr>
              <w:fldChar w:fldCharType="end"/>
            </w:r>
          </w:hyperlink>
        </w:p>
        <w:p w:rsidR="00B018FB" w:rsidRPr="00B018FB" w:rsidRDefault="00465E85">
          <w:pPr>
            <w:pStyle w:val="TDC1"/>
            <w:tabs>
              <w:tab w:val="right" w:leader="dot" w:pos="8828"/>
            </w:tabs>
            <w:rPr>
              <w:rFonts w:eastAsiaTheme="minorEastAsia" w:cstheme="minorBidi"/>
              <w:b w:val="0"/>
              <w:bCs w:val="0"/>
              <w:i w:val="0"/>
              <w:iCs w:val="0"/>
              <w:noProof/>
              <w:sz w:val="22"/>
              <w:szCs w:val="22"/>
              <w:lang w:val="es-MX"/>
            </w:rPr>
          </w:pPr>
          <w:hyperlink w:anchor="_Toc26913247" w:history="1">
            <w:r w:rsidR="00B018FB" w:rsidRPr="00B018FB">
              <w:rPr>
                <w:rStyle w:val="Hipervnculo"/>
                <w:rFonts w:ascii="Arial" w:hAnsi="Arial" w:cs="Arial"/>
                <w:noProof/>
                <w:sz w:val="22"/>
                <w:szCs w:val="22"/>
              </w:rPr>
              <w:t>RESULTADO GLOBALES DE LA TERCERA EVALUACIÓN VINCULANTE 2019</w:t>
            </w:r>
            <w:r w:rsidR="00B018FB" w:rsidRPr="00B018FB">
              <w:rPr>
                <w:noProof/>
                <w:webHidden/>
                <w:sz w:val="22"/>
                <w:szCs w:val="22"/>
              </w:rPr>
              <w:tab/>
            </w:r>
            <w:r w:rsidR="00B018FB" w:rsidRPr="00B018FB">
              <w:rPr>
                <w:noProof/>
                <w:webHidden/>
                <w:sz w:val="22"/>
                <w:szCs w:val="22"/>
              </w:rPr>
              <w:fldChar w:fldCharType="begin"/>
            </w:r>
            <w:r w:rsidR="00B018FB" w:rsidRPr="00B018FB">
              <w:rPr>
                <w:noProof/>
                <w:webHidden/>
                <w:sz w:val="22"/>
                <w:szCs w:val="22"/>
              </w:rPr>
              <w:instrText xml:space="preserve"> PAGEREF _Toc26913247 \h </w:instrText>
            </w:r>
            <w:r w:rsidR="00B018FB" w:rsidRPr="00B018FB">
              <w:rPr>
                <w:noProof/>
                <w:webHidden/>
                <w:sz w:val="22"/>
                <w:szCs w:val="22"/>
              </w:rPr>
            </w:r>
            <w:r w:rsidR="00B018FB" w:rsidRPr="00B018FB">
              <w:rPr>
                <w:noProof/>
                <w:webHidden/>
                <w:sz w:val="22"/>
                <w:szCs w:val="22"/>
              </w:rPr>
              <w:fldChar w:fldCharType="separate"/>
            </w:r>
            <w:r w:rsidR="00322811">
              <w:rPr>
                <w:noProof/>
                <w:webHidden/>
                <w:sz w:val="22"/>
                <w:szCs w:val="22"/>
              </w:rPr>
              <w:t>11</w:t>
            </w:r>
            <w:r w:rsidR="00B018FB" w:rsidRPr="00B018FB">
              <w:rPr>
                <w:noProof/>
                <w:webHidden/>
                <w:sz w:val="22"/>
                <w:szCs w:val="22"/>
              </w:rPr>
              <w:fldChar w:fldCharType="end"/>
            </w:r>
          </w:hyperlink>
        </w:p>
        <w:p w:rsidR="00B018FB" w:rsidRPr="00B018FB" w:rsidRDefault="00465E85">
          <w:pPr>
            <w:pStyle w:val="TDC1"/>
            <w:tabs>
              <w:tab w:val="right" w:leader="dot" w:pos="8828"/>
            </w:tabs>
            <w:rPr>
              <w:rFonts w:eastAsiaTheme="minorEastAsia" w:cstheme="minorBidi"/>
              <w:b w:val="0"/>
              <w:bCs w:val="0"/>
              <w:i w:val="0"/>
              <w:iCs w:val="0"/>
              <w:noProof/>
              <w:sz w:val="22"/>
              <w:szCs w:val="22"/>
              <w:lang w:val="es-MX"/>
            </w:rPr>
          </w:pPr>
          <w:hyperlink w:anchor="_Toc26913248" w:history="1">
            <w:r w:rsidR="00B018FB" w:rsidRPr="00B018FB">
              <w:rPr>
                <w:rStyle w:val="Hipervnculo"/>
                <w:rFonts w:ascii="Arial" w:hAnsi="Arial" w:cs="Arial"/>
                <w:noProof/>
                <w:sz w:val="22"/>
                <w:szCs w:val="22"/>
              </w:rPr>
              <w:t>SÍNTESIS DE LOS ARTÍCULOS DE LAS OBLIGACIONES DE TRANSPARENCIA ANALIZADOS</w:t>
            </w:r>
            <w:r w:rsidR="00B018FB" w:rsidRPr="00B018FB">
              <w:rPr>
                <w:noProof/>
                <w:webHidden/>
                <w:sz w:val="22"/>
                <w:szCs w:val="22"/>
              </w:rPr>
              <w:tab/>
            </w:r>
            <w:r w:rsidR="00B018FB" w:rsidRPr="00B018FB">
              <w:rPr>
                <w:noProof/>
                <w:webHidden/>
                <w:sz w:val="22"/>
                <w:szCs w:val="22"/>
              </w:rPr>
              <w:fldChar w:fldCharType="begin"/>
            </w:r>
            <w:r w:rsidR="00B018FB" w:rsidRPr="00B018FB">
              <w:rPr>
                <w:noProof/>
                <w:webHidden/>
                <w:sz w:val="22"/>
                <w:szCs w:val="22"/>
              </w:rPr>
              <w:instrText xml:space="preserve"> PAGEREF _Toc26913248 \h </w:instrText>
            </w:r>
            <w:r w:rsidR="00B018FB" w:rsidRPr="00B018FB">
              <w:rPr>
                <w:noProof/>
                <w:webHidden/>
                <w:sz w:val="22"/>
                <w:szCs w:val="22"/>
              </w:rPr>
            </w:r>
            <w:r w:rsidR="00B018FB" w:rsidRPr="00B018FB">
              <w:rPr>
                <w:noProof/>
                <w:webHidden/>
                <w:sz w:val="22"/>
                <w:szCs w:val="22"/>
              </w:rPr>
              <w:fldChar w:fldCharType="separate"/>
            </w:r>
            <w:r w:rsidR="00322811">
              <w:rPr>
                <w:noProof/>
                <w:webHidden/>
                <w:sz w:val="22"/>
                <w:szCs w:val="22"/>
              </w:rPr>
              <w:t>15</w:t>
            </w:r>
            <w:r w:rsidR="00B018FB" w:rsidRPr="00B018FB">
              <w:rPr>
                <w:noProof/>
                <w:webHidden/>
                <w:sz w:val="22"/>
                <w:szCs w:val="22"/>
              </w:rPr>
              <w:fldChar w:fldCharType="end"/>
            </w:r>
          </w:hyperlink>
        </w:p>
        <w:p w:rsidR="00B018FB" w:rsidRPr="00B018FB" w:rsidRDefault="00465E85">
          <w:pPr>
            <w:pStyle w:val="TDC2"/>
            <w:tabs>
              <w:tab w:val="right" w:leader="dot" w:pos="8828"/>
            </w:tabs>
            <w:rPr>
              <w:rFonts w:eastAsiaTheme="minorEastAsia" w:cstheme="minorBidi"/>
              <w:b w:val="0"/>
              <w:bCs w:val="0"/>
              <w:noProof/>
              <w:lang w:val="es-MX"/>
            </w:rPr>
          </w:pPr>
          <w:hyperlink w:anchor="_Toc26913249" w:history="1">
            <w:r w:rsidR="00B018FB" w:rsidRPr="00B018FB">
              <w:rPr>
                <w:rStyle w:val="Hipervnculo"/>
                <w:rFonts w:ascii="Arial" w:hAnsi="Arial" w:cs="Arial"/>
                <w:noProof/>
              </w:rPr>
              <w:t>Obligaciones Comunes de la Ley local de Transparencia</w:t>
            </w:r>
            <w:r w:rsidR="00B018FB" w:rsidRPr="00B018FB">
              <w:rPr>
                <w:noProof/>
                <w:webHidden/>
              </w:rPr>
              <w:tab/>
            </w:r>
            <w:r w:rsidR="00B018FB" w:rsidRPr="00B018FB">
              <w:rPr>
                <w:noProof/>
                <w:webHidden/>
              </w:rPr>
              <w:fldChar w:fldCharType="begin"/>
            </w:r>
            <w:r w:rsidR="00B018FB" w:rsidRPr="00B018FB">
              <w:rPr>
                <w:noProof/>
                <w:webHidden/>
              </w:rPr>
              <w:instrText xml:space="preserve"> PAGEREF _Toc26913249 \h </w:instrText>
            </w:r>
            <w:r w:rsidR="00B018FB" w:rsidRPr="00B018FB">
              <w:rPr>
                <w:noProof/>
                <w:webHidden/>
              </w:rPr>
            </w:r>
            <w:r w:rsidR="00B018FB" w:rsidRPr="00B018FB">
              <w:rPr>
                <w:noProof/>
                <w:webHidden/>
              </w:rPr>
              <w:fldChar w:fldCharType="separate"/>
            </w:r>
            <w:r w:rsidR="00322811">
              <w:rPr>
                <w:noProof/>
                <w:webHidden/>
              </w:rPr>
              <w:t>15</w:t>
            </w:r>
            <w:r w:rsidR="00B018FB" w:rsidRPr="00B018FB">
              <w:rPr>
                <w:noProof/>
                <w:webHidden/>
              </w:rPr>
              <w:fldChar w:fldCharType="end"/>
            </w:r>
          </w:hyperlink>
        </w:p>
        <w:p w:rsidR="00B018FB" w:rsidRPr="00B018FB" w:rsidRDefault="00465E85">
          <w:pPr>
            <w:pStyle w:val="TDC2"/>
            <w:tabs>
              <w:tab w:val="right" w:leader="dot" w:pos="8828"/>
            </w:tabs>
            <w:rPr>
              <w:rFonts w:eastAsiaTheme="minorEastAsia" w:cstheme="minorBidi"/>
              <w:b w:val="0"/>
              <w:bCs w:val="0"/>
              <w:noProof/>
              <w:lang w:val="es-MX"/>
            </w:rPr>
          </w:pPr>
          <w:hyperlink w:anchor="_Toc26913250" w:history="1">
            <w:r w:rsidR="00B018FB" w:rsidRPr="00B018FB">
              <w:rPr>
                <w:rStyle w:val="Hipervnculo"/>
                <w:rFonts w:ascii="Arial" w:hAnsi="Arial" w:cs="Arial"/>
                <w:noProof/>
              </w:rPr>
              <w:t>Obligaciones Específicas de la Ley local de Transparencia</w:t>
            </w:r>
            <w:r w:rsidR="00B018FB" w:rsidRPr="00B018FB">
              <w:rPr>
                <w:noProof/>
                <w:webHidden/>
              </w:rPr>
              <w:tab/>
            </w:r>
            <w:r w:rsidR="00B018FB" w:rsidRPr="00B018FB">
              <w:rPr>
                <w:noProof/>
                <w:webHidden/>
              </w:rPr>
              <w:fldChar w:fldCharType="begin"/>
            </w:r>
            <w:r w:rsidR="00B018FB" w:rsidRPr="00B018FB">
              <w:rPr>
                <w:noProof/>
                <w:webHidden/>
              </w:rPr>
              <w:instrText xml:space="preserve"> PAGEREF _Toc26913250 \h </w:instrText>
            </w:r>
            <w:r w:rsidR="00B018FB" w:rsidRPr="00B018FB">
              <w:rPr>
                <w:noProof/>
                <w:webHidden/>
              </w:rPr>
            </w:r>
            <w:r w:rsidR="00B018FB" w:rsidRPr="00B018FB">
              <w:rPr>
                <w:noProof/>
                <w:webHidden/>
              </w:rPr>
              <w:fldChar w:fldCharType="separate"/>
            </w:r>
            <w:r w:rsidR="00322811">
              <w:rPr>
                <w:noProof/>
                <w:webHidden/>
              </w:rPr>
              <w:t>15</w:t>
            </w:r>
            <w:r w:rsidR="00B018FB" w:rsidRPr="00B018FB">
              <w:rPr>
                <w:noProof/>
                <w:webHidden/>
              </w:rPr>
              <w:fldChar w:fldCharType="end"/>
            </w:r>
          </w:hyperlink>
        </w:p>
        <w:p w:rsidR="00B018FB" w:rsidRPr="00B018FB" w:rsidRDefault="00465E85">
          <w:pPr>
            <w:pStyle w:val="TDC2"/>
            <w:tabs>
              <w:tab w:val="right" w:leader="dot" w:pos="8828"/>
            </w:tabs>
            <w:rPr>
              <w:rFonts w:eastAsiaTheme="minorEastAsia" w:cstheme="minorBidi"/>
              <w:b w:val="0"/>
              <w:bCs w:val="0"/>
              <w:noProof/>
              <w:lang w:val="es-MX"/>
            </w:rPr>
          </w:pPr>
          <w:hyperlink w:anchor="_Toc26913251" w:history="1">
            <w:r w:rsidR="00B018FB" w:rsidRPr="00B018FB">
              <w:rPr>
                <w:rStyle w:val="Hipervnculo"/>
                <w:rFonts w:ascii="Arial" w:hAnsi="Arial" w:cs="Arial"/>
                <w:noProof/>
              </w:rPr>
              <w:t>Disposiciones Particulares de la Ley local de Transparencia</w:t>
            </w:r>
            <w:r w:rsidR="00B018FB" w:rsidRPr="00B018FB">
              <w:rPr>
                <w:noProof/>
                <w:webHidden/>
              </w:rPr>
              <w:tab/>
            </w:r>
            <w:r w:rsidR="00B018FB" w:rsidRPr="00B018FB">
              <w:rPr>
                <w:noProof/>
                <w:webHidden/>
              </w:rPr>
              <w:fldChar w:fldCharType="begin"/>
            </w:r>
            <w:r w:rsidR="00B018FB" w:rsidRPr="00B018FB">
              <w:rPr>
                <w:noProof/>
                <w:webHidden/>
              </w:rPr>
              <w:instrText xml:space="preserve"> PAGEREF _Toc26913251 \h </w:instrText>
            </w:r>
            <w:r w:rsidR="00B018FB" w:rsidRPr="00B018FB">
              <w:rPr>
                <w:noProof/>
                <w:webHidden/>
              </w:rPr>
            </w:r>
            <w:r w:rsidR="00B018FB" w:rsidRPr="00B018FB">
              <w:rPr>
                <w:noProof/>
                <w:webHidden/>
              </w:rPr>
              <w:fldChar w:fldCharType="separate"/>
            </w:r>
            <w:r w:rsidR="00322811">
              <w:rPr>
                <w:noProof/>
                <w:webHidden/>
              </w:rPr>
              <w:t>20</w:t>
            </w:r>
            <w:r w:rsidR="00B018FB" w:rsidRPr="00B018FB">
              <w:rPr>
                <w:noProof/>
                <w:webHidden/>
              </w:rPr>
              <w:fldChar w:fldCharType="end"/>
            </w:r>
          </w:hyperlink>
        </w:p>
        <w:p w:rsidR="00B018FB" w:rsidRPr="00B018FB" w:rsidRDefault="00465E85">
          <w:pPr>
            <w:pStyle w:val="TDC1"/>
            <w:tabs>
              <w:tab w:val="right" w:leader="dot" w:pos="8828"/>
            </w:tabs>
            <w:rPr>
              <w:rFonts w:eastAsiaTheme="minorEastAsia" w:cstheme="minorBidi"/>
              <w:b w:val="0"/>
              <w:bCs w:val="0"/>
              <w:i w:val="0"/>
              <w:iCs w:val="0"/>
              <w:noProof/>
              <w:sz w:val="22"/>
              <w:szCs w:val="22"/>
              <w:lang w:val="es-MX"/>
            </w:rPr>
          </w:pPr>
          <w:hyperlink w:anchor="_Toc26913252" w:history="1">
            <w:r w:rsidR="00B018FB" w:rsidRPr="00B018FB">
              <w:rPr>
                <w:rStyle w:val="Hipervnculo"/>
                <w:rFonts w:ascii="Arial" w:hAnsi="Arial" w:cs="Arial"/>
                <w:noProof/>
                <w:sz w:val="22"/>
                <w:szCs w:val="22"/>
              </w:rPr>
              <w:t>PODER EJECUTIVO – ADMINISTRACIÓN CENTRAL</w:t>
            </w:r>
            <w:r w:rsidR="00B018FB" w:rsidRPr="00B018FB">
              <w:rPr>
                <w:noProof/>
                <w:webHidden/>
                <w:sz w:val="22"/>
                <w:szCs w:val="22"/>
              </w:rPr>
              <w:tab/>
            </w:r>
            <w:r w:rsidR="00B018FB" w:rsidRPr="00B018FB">
              <w:rPr>
                <w:noProof/>
                <w:webHidden/>
                <w:sz w:val="22"/>
                <w:szCs w:val="22"/>
              </w:rPr>
              <w:fldChar w:fldCharType="begin"/>
            </w:r>
            <w:r w:rsidR="00B018FB" w:rsidRPr="00B018FB">
              <w:rPr>
                <w:noProof/>
                <w:webHidden/>
                <w:sz w:val="22"/>
                <w:szCs w:val="22"/>
              </w:rPr>
              <w:instrText xml:space="preserve"> PAGEREF _Toc26913252 \h </w:instrText>
            </w:r>
            <w:r w:rsidR="00B018FB" w:rsidRPr="00B018FB">
              <w:rPr>
                <w:noProof/>
                <w:webHidden/>
                <w:sz w:val="22"/>
                <w:szCs w:val="22"/>
              </w:rPr>
            </w:r>
            <w:r w:rsidR="00B018FB" w:rsidRPr="00B018FB">
              <w:rPr>
                <w:noProof/>
                <w:webHidden/>
                <w:sz w:val="22"/>
                <w:szCs w:val="22"/>
              </w:rPr>
              <w:fldChar w:fldCharType="separate"/>
            </w:r>
            <w:r w:rsidR="00322811">
              <w:rPr>
                <w:noProof/>
                <w:webHidden/>
                <w:sz w:val="22"/>
                <w:szCs w:val="22"/>
              </w:rPr>
              <w:t>22</w:t>
            </w:r>
            <w:r w:rsidR="00B018FB" w:rsidRPr="00B018FB">
              <w:rPr>
                <w:noProof/>
                <w:webHidden/>
                <w:sz w:val="22"/>
                <w:szCs w:val="22"/>
              </w:rPr>
              <w:fldChar w:fldCharType="end"/>
            </w:r>
          </w:hyperlink>
        </w:p>
        <w:p w:rsidR="00B018FB" w:rsidRPr="00B018FB" w:rsidRDefault="00465E85">
          <w:pPr>
            <w:pStyle w:val="TDC2"/>
            <w:tabs>
              <w:tab w:val="right" w:leader="dot" w:pos="8828"/>
            </w:tabs>
            <w:rPr>
              <w:rFonts w:eastAsiaTheme="minorEastAsia" w:cstheme="minorBidi"/>
              <w:b w:val="0"/>
              <w:bCs w:val="0"/>
              <w:noProof/>
              <w:lang w:val="es-MX"/>
            </w:rPr>
          </w:pPr>
          <w:hyperlink w:anchor="_Toc26913253" w:history="1">
            <w:r w:rsidR="00B018FB" w:rsidRPr="00B018FB">
              <w:rPr>
                <w:rStyle w:val="Hipervnculo"/>
                <w:rFonts w:ascii="Arial" w:hAnsi="Arial" w:cs="Arial"/>
                <w:noProof/>
              </w:rPr>
              <w:t>Análisis global de cumplimiento del Poder Ejecutivo – Administración Central</w:t>
            </w:r>
            <w:r w:rsidR="00B018FB" w:rsidRPr="00B018FB">
              <w:rPr>
                <w:noProof/>
                <w:webHidden/>
              </w:rPr>
              <w:tab/>
            </w:r>
            <w:r w:rsidR="00B018FB" w:rsidRPr="00B018FB">
              <w:rPr>
                <w:noProof/>
                <w:webHidden/>
              </w:rPr>
              <w:fldChar w:fldCharType="begin"/>
            </w:r>
            <w:r w:rsidR="00B018FB" w:rsidRPr="00B018FB">
              <w:rPr>
                <w:noProof/>
                <w:webHidden/>
              </w:rPr>
              <w:instrText xml:space="preserve"> PAGEREF _Toc26913253 \h </w:instrText>
            </w:r>
            <w:r w:rsidR="00B018FB" w:rsidRPr="00B018FB">
              <w:rPr>
                <w:noProof/>
                <w:webHidden/>
              </w:rPr>
            </w:r>
            <w:r w:rsidR="00B018FB" w:rsidRPr="00B018FB">
              <w:rPr>
                <w:noProof/>
                <w:webHidden/>
              </w:rPr>
              <w:fldChar w:fldCharType="separate"/>
            </w:r>
            <w:r w:rsidR="00322811">
              <w:rPr>
                <w:noProof/>
                <w:webHidden/>
              </w:rPr>
              <w:t>25</w:t>
            </w:r>
            <w:r w:rsidR="00B018FB" w:rsidRPr="00B018FB">
              <w:rPr>
                <w:noProof/>
                <w:webHidden/>
              </w:rPr>
              <w:fldChar w:fldCharType="end"/>
            </w:r>
          </w:hyperlink>
        </w:p>
        <w:p w:rsidR="00B018FB" w:rsidRPr="00B018FB" w:rsidRDefault="00465E85">
          <w:pPr>
            <w:pStyle w:val="TDC1"/>
            <w:tabs>
              <w:tab w:val="right" w:leader="dot" w:pos="8828"/>
            </w:tabs>
            <w:rPr>
              <w:rFonts w:eastAsiaTheme="minorEastAsia" w:cstheme="minorBidi"/>
              <w:b w:val="0"/>
              <w:bCs w:val="0"/>
              <w:i w:val="0"/>
              <w:iCs w:val="0"/>
              <w:noProof/>
              <w:sz w:val="22"/>
              <w:szCs w:val="22"/>
              <w:lang w:val="es-MX"/>
            </w:rPr>
          </w:pPr>
          <w:hyperlink w:anchor="_Toc26913254" w:history="1">
            <w:r w:rsidR="00B018FB" w:rsidRPr="00B018FB">
              <w:rPr>
                <w:rStyle w:val="Hipervnculo"/>
                <w:rFonts w:ascii="Arial" w:hAnsi="Arial" w:cs="Arial"/>
                <w:noProof/>
                <w:sz w:val="22"/>
                <w:szCs w:val="22"/>
              </w:rPr>
              <w:t>PODER EJECUTIVO – ÓRGANOS DESCONCENTRADOS, FONDOS Y FIDEICOMISOS</w:t>
            </w:r>
            <w:r w:rsidR="00B018FB" w:rsidRPr="00B018FB">
              <w:rPr>
                <w:noProof/>
                <w:webHidden/>
                <w:sz w:val="22"/>
                <w:szCs w:val="22"/>
              </w:rPr>
              <w:tab/>
            </w:r>
            <w:r w:rsidR="00B018FB" w:rsidRPr="00B018FB">
              <w:rPr>
                <w:noProof/>
                <w:webHidden/>
                <w:sz w:val="22"/>
                <w:szCs w:val="22"/>
              </w:rPr>
              <w:fldChar w:fldCharType="begin"/>
            </w:r>
            <w:r w:rsidR="00B018FB" w:rsidRPr="00B018FB">
              <w:rPr>
                <w:noProof/>
                <w:webHidden/>
                <w:sz w:val="22"/>
                <w:szCs w:val="22"/>
              </w:rPr>
              <w:instrText xml:space="preserve"> PAGEREF _Toc26913254 \h </w:instrText>
            </w:r>
            <w:r w:rsidR="00B018FB" w:rsidRPr="00B018FB">
              <w:rPr>
                <w:noProof/>
                <w:webHidden/>
                <w:sz w:val="22"/>
                <w:szCs w:val="22"/>
              </w:rPr>
            </w:r>
            <w:r w:rsidR="00B018FB" w:rsidRPr="00B018FB">
              <w:rPr>
                <w:noProof/>
                <w:webHidden/>
                <w:sz w:val="22"/>
                <w:szCs w:val="22"/>
              </w:rPr>
              <w:fldChar w:fldCharType="separate"/>
            </w:r>
            <w:r w:rsidR="00322811">
              <w:rPr>
                <w:noProof/>
                <w:webHidden/>
                <w:sz w:val="22"/>
                <w:szCs w:val="22"/>
              </w:rPr>
              <w:t>29</w:t>
            </w:r>
            <w:r w:rsidR="00B018FB" w:rsidRPr="00B018FB">
              <w:rPr>
                <w:noProof/>
                <w:webHidden/>
                <w:sz w:val="22"/>
                <w:szCs w:val="22"/>
              </w:rPr>
              <w:fldChar w:fldCharType="end"/>
            </w:r>
          </w:hyperlink>
        </w:p>
        <w:p w:rsidR="00B018FB" w:rsidRPr="00B018FB" w:rsidRDefault="00465E85">
          <w:pPr>
            <w:pStyle w:val="TDC2"/>
            <w:tabs>
              <w:tab w:val="right" w:leader="dot" w:pos="8828"/>
            </w:tabs>
            <w:rPr>
              <w:rFonts w:eastAsiaTheme="minorEastAsia" w:cstheme="minorBidi"/>
              <w:b w:val="0"/>
              <w:bCs w:val="0"/>
              <w:noProof/>
              <w:lang w:val="es-MX"/>
            </w:rPr>
          </w:pPr>
          <w:hyperlink w:anchor="_Toc26913255" w:history="1">
            <w:r w:rsidR="00B018FB" w:rsidRPr="00B018FB">
              <w:rPr>
                <w:rStyle w:val="Hipervnculo"/>
                <w:rFonts w:ascii="Arial" w:hAnsi="Arial" w:cs="Arial"/>
                <w:noProof/>
              </w:rPr>
              <w:t>Análisis global de cumplimiento del Poder Ejecutivo – Órganos Desconcentrados, Fondos y Fideicomisos</w:t>
            </w:r>
            <w:r w:rsidR="00B018FB" w:rsidRPr="00B018FB">
              <w:rPr>
                <w:noProof/>
                <w:webHidden/>
              </w:rPr>
              <w:tab/>
            </w:r>
            <w:r w:rsidR="00B018FB" w:rsidRPr="00B018FB">
              <w:rPr>
                <w:noProof/>
                <w:webHidden/>
              </w:rPr>
              <w:fldChar w:fldCharType="begin"/>
            </w:r>
            <w:r w:rsidR="00B018FB" w:rsidRPr="00B018FB">
              <w:rPr>
                <w:noProof/>
                <w:webHidden/>
              </w:rPr>
              <w:instrText xml:space="preserve"> PAGEREF _Toc26913255 \h </w:instrText>
            </w:r>
            <w:r w:rsidR="00B018FB" w:rsidRPr="00B018FB">
              <w:rPr>
                <w:noProof/>
                <w:webHidden/>
              </w:rPr>
            </w:r>
            <w:r w:rsidR="00B018FB" w:rsidRPr="00B018FB">
              <w:rPr>
                <w:noProof/>
                <w:webHidden/>
              </w:rPr>
              <w:fldChar w:fldCharType="separate"/>
            </w:r>
            <w:r w:rsidR="00322811">
              <w:rPr>
                <w:noProof/>
                <w:webHidden/>
              </w:rPr>
              <w:t>35</w:t>
            </w:r>
            <w:r w:rsidR="00B018FB" w:rsidRPr="00B018FB">
              <w:rPr>
                <w:noProof/>
                <w:webHidden/>
              </w:rPr>
              <w:fldChar w:fldCharType="end"/>
            </w:r>
          </w:hyperlink>
        </w:p>
        <w:p w:rsidR="00B018FB" w:rsidRPr="00B018FB" w:rsidRDefault="00465E85">
          <w:pPr>
            <w:pStyle w:val="TDC1"/>
            <w:tabs>
              <w:tab w:val="right" w:leader="dot" w:pos="8828"/>
            </w:tabs>
            <w:rPr>
              <w:rFonts w:eastAsiaTheme="minorEastAsia" w:cstheme="minorBidi"/>
              <w:b w:val="0"/>
              <w:bCs w:val="0"/>
              <w:i w:val="0"/>
              <w:iCs w:val="0"/>
              <w:noProof/>
              <w:sz w:val="22"/>
              <w:szCs w:val="22"/>
              <w:lang w:val="es-MX"/>
            </w:rPr>
          </w:pPr>
          <w:hyperlink w:anchor="_Toc26913256" w:history="1">
            <w:r w:rsidR="00B018FB" w:rsidRPr="00B018FB">
              <w:rPr>
                <w:rStyle w:val="Hipervnculo"/>
                <w:rFonts w:ascii="Arial" w:hAnsi="Arial" w:cs="Arial"/>
                <w:noProof/>
                <w:sz w:val="22"/>
                <w:szCs w:val="22"/>
              </w:rPr>
              <w:t>PODER EJECUTIVO – DEMARCACIONES TERRITORIALES</w:t>
            </w:r>
            <w:r w:rsidR="00B018FB" w:rsidRPr="00B018FB">
              <w:rPr>
                <w:noProof/>
                <w:webHidden/>
                <w:sz w:val="22"/>
                <w:szCs w:val="22"/>
              </w:rPr>
              <w:tab/>
            </w:r>
            <w:r w:rsidR="00B018FB" w:rsidRPr="00B018FB">
              <w:rPr>
                <w:noProof/>
                <w:webHidden/>
                <w:sz w:val="22"/>
                <w:szCs w:val="22"/>
              </w:rPr>
              <w:fldChar w:fldCharType="begin"/>
            </w:r>
            <w:r w:rsidR="00B018FB" w:rsidRPr="00B018FB">
              <w:rPr>
                <w:noProof/>
                <w:webHidden/>
                <w:sz w:val="22"/>
                <w:szCs w:val="22"/>
              </w:rPr>
              <w:instrText xml:space="preserve"> PAGEREF _Toc26913256 \h </w:instrText>
            </w:r>
            <w:r w:rsidR="00B018FB" w:rsidRPr="00B018FB">
              <w:rPr>
                <w:noProof/>
                <w:webHidden/>
                <w:sz w:val="22"/>
                <w:szCs w:val="22"/>
              </w:rPr>
            </w:r>
            <w:r w:rsidR="00B018FB" w:rsidRPr="00B018FB">
              <w:rPr>
                <w:noProof/>
                <w:webHidden/>
                <w:sz w:val="22"/>
                <w:szCs w:val="22"/>
              </w:rPr>
              <w:fldChar w:fldCharType="separate"/>
            </w:r>
            <w:r w:rsidR="00322811">
              <w:rPr>
                <w:noProof/>
                <w:webHidden/>
                <w:sz w:val="22"/>
                <w:szCs w:val="22"/>
              </w:rPr>
              <w:t>43</w:t>
            </w:r>
            <w:r w:rsidR="00B018FB" w:rsidRPr="00B018FB">
              <w:rPr>
                <w:noProof/>
                <w:webHidden/>
                <w:sz w:val="22"/>
                <w:szCs w:val="22"/>
              </w:rPr>
              <w:fldChar w:fldCharType="end"/>
            </w:r>
          </w:hyperlink>
        </w:p>
        <w:p w:rsidR="00B018FB" w:rsidRPr="00B018FB" w:rsidRDefault="00465E85">
          <w:pPr>
            <w:pStyle w:val="TDC2"/>
            <w:tabs>
              <w:tab w:val="right" w:leader="dot" w:pos="8828"/>
            </w:tabs>
            <w:rPr>
              <w:rFonts w:eastAsiaTheme="minorEastAsia" w:cstheme="minorBidi"/>
              <w:b w:val="0"/>
              <w:bCs w:val="0"/>
              <w:noProof/>
              <w:lang w:val="es-MX"/>
            </w:rPr>
          </w:pPr>
          <w:hyperlink w:anchor="_Toc26913257" w:history="1">
            <w:r w:rsidR="00B018FB" w:rsidRPr="00B018FB">
              <w:rPr>
                <w:rStyle w:val="Hipervnculo"/>
                <w:rFonts w:ascii="Arial" w:hAnsi="Arial" w:cs="Arial"/>
                <w:noProof/>
              </w:rPr>
              <w:t>Análisis global de cumplimiento del Poder Ejecutivo – Demarcaciones Territoriales</w:t>
            </w:r>
            <w:r w:rsidR="00B018FB" w:rsidRPr="00B018FB">
              <w:rPr>
                <w:noProof/>
                <w:webHidden/>
              </w:rPr>
              <w:tab/>
            </w:r>
            <w:r w:rsidR="00B018FB" w:rsidRPr="00B018FB">
              <w:rPr>
                <w:noProof/>
                <w:webHidden/>
              </w:rPr>
              <w:fldChar w:fldCharType="begin"/>
            </w:r>
            <w:r w:rsidR="00B018FB" w:rsidRPr="00B018FB">
              <w:rPr>
                <w:noProof/>
                <w:webHidden/>
              </w:rPr>
              <w:instrText xml:space="preserve"> PAGEREF _Toc26913257 \h </w:instrText>
            </w:r>
            <w:r w:rsidR="00B018FB" w:rsidRPr="00B018FB">
              <w:rPr>
                <w:noProof/>
                <w:webHidden/>
              </w:rPr>
            </w:r>
            <w:r w:rsidR="00B018FB" w:rsidRPr="00B018FB">
              <w:rPr>
                <w:noProof/>
                <w:webHidden/>
              </w:rPr>
              <w:fldChar w:fldCharType="separate"/>
            </w:r>
            <w:r w:rsidR="00322811">
              <w:rPr>
                <w:noProof/>
                <w:webHidden/>
              </w:rPr>
              <w:t>45</w:t>
            </w:r>
            <w:r w:rsidR="00B018FB" w:rsidRPr="00B018FB">
              <w:rPr>
                <w:noProof/>
                <w:webHidden/>
              </w:rPr>
              <w:fldChar w:fldCharType="end"/>
            </w:r>
          </w:hyperlink>
        </w:p>
        <w:p w:rsidR="00B018FB" w:rsidRPr="00B018FB" w:rsidRDefault="00465E85">
          <w:pPr>
            <w:pStyle w:val="TDC1"/>
            <w:tabs>
              <w:tab w:val="right" w:leader="dot" w:pos="8828"/>
            </w:tabs>
            <w:rPr>
              <w:rFonts w:eastAsiaTheme="minorEastAsia" w:cstheme="minorBidi"/>
              <w:b w:val="0"/>
              <w:bCs w:val="0"/>
              <w:i w:val="0"/>
              <w:iCs w:val="0"/>
              <w:noProof/>
              <w:sz w:val="22"/>
              <w:szCs w:val="22"/>
              <w:lang w:val="es-MX"/>
            </w:rPr>
          </w:pPr>
          <w:hyperlink w:anchor="_Toc26913258" w:history="1">
            <w:r w:rsidR="00B018FB" w:rsidRPr="00B018FB">
              <w:rPr>
                <w:rStyle w:val="Hipervnculo"/>
                <w:rFonts w:ascii="Arial" w:hAnsi="Arial" w:cs="Arial"/>
                <w:noProof/>
                <w:sz w:val="22"/>
                <w:szCs w:val="22"/>
              </w:rPr>
              <w:t>PODER LEGISLATIVO</w:t>
            </w:r>
            <w:r w:rsidR="00B018FB" w:rsidRPr="00B018FB">
              <w:rPr>
                <w:noProof/>
                <w:webHidden/>
                <w:sz w:val="22"/>
                <w:szCs w:val="22"/>
              </w:rPr>
              <w:tab/>
            </w:r>
            <w:r w:rsidR="00B018FB" w:rsidRPr="00B018FB">
              <w:rPr>
                <w:noProof/>
                <w:webHidden/>
                <w:sz w:val="22"/>
                <w:szCs w:val="22"/>
              </w:rPr>
              <w:fldChar w:fldCharType="begin"/>
            </w:r>
            <w:r w:rsidR="00B018FB" w:rsidRPr="00B018FB">
              <w:rPr>
                <w:noProof/>
                <w:webHidden/>
                <w:sz w:val="22"/>
                <w:szCs w:val="22"/>
              </w:rPr>
              <w:instrText xml:space="preserve"> PAGEREF _Toc26913258 \h </w:instrText>
            </w:r>
            <w:r w:rsidR="00B018FB" w:rsidRPr="00B018FB">
              <w:rPr>
                <w:noProof/>
                <w:webHidden/>
                <w:sz w:val="22"/>
                <w:szCs w:val="22"/>
              </w:rPr>
            </w:r>
            <w:r w:rsidR="00B018FB" w:rsidRPr="00B018FB">
              <w:rPr>
                <w:noProof/>
                <w:webHidden/>
                <w:sz w:val="22"/>
                <w:szCs w:val="22"/>
              </w:rPr>
              <w:fldChar w:fldCharType="separate"/>
            </w:r>
            <w:r w:rsidR="00322811">
              <w:rPr>
                <w:noProof/>
                <w:webHidden/>
                <w:sz w:val="22"/>
                <w:szCs w:val="22"/>
              </w:rPr>
              <w:t>49</w:t>
            </w:r>
            <w:r w:rsidR="00B018FB" w:rsidRPr="00B018FB">
              <w:rPr>
                <w:noProof/>
                <w:webHidden/>
                <w:sz w:val="22"/>
                <w:szCs w:val="22"/>
              </w:rPr>
              <w:fldChar w:fldCharType="end"/>
            </w:r>
          </w:hyperlink>
        </w:p>
        <w:p w:rsidR="00B018FB" w:rsidRPr="00B018FB" w:rsidRDefault="00465E85">
          <w:pPr>
            <w:pStyle w:val="TDC2"/>
            <w:tabs>
              <w:tab w:val="right" w:leader="dot" w:pos="8828"/>
            </w:tabs>
            <w:rPr>
              <w:rFonts w:eastAsiaTheme="minorEastAsia" w:cstheme="minorBidi"/>
              <w:b w:val="0"/>
              <w:bCs w:val="0"/>
              <w:noProof/>
              <w:lang w:val="es-MX"/>
            </w:rPr>
          </w:pPr>
          <w:hyperlink w:anchor="_Toc26913259" w:history="1">
            <w:r w:rsidR="00B018FB" w:rsidRPr="00B018FB">
              <w:rPr>
                <w:rStyle w:val="Hipervnculo"/>
                <w:rFonts w:ascii="Arial" w:hAnsi="Arial" w:cs="Arial"/>
                <w:noProof/>
              </w:rPr>
              <w:t>Análisis global de cumplimiento del Poder Legislativo</w:t>
            </w:r>
            <w:r w:rsidR="00B018FB" w:rsidRPr="00B018FB">
              <w:rPr>
                <w:noProof/>
                <w:webHidden/>
              </w:rPr>
              <w:tab/>
            </w:r>
            <w:r w:rsidR="00B018FB" w:rsidRPr="00B018FB">
              <w:rPr>
                <w:noProof/>
                <w:webHidden/>
              </w:rPr>
              <w:fldChar w:fldCharType="begin"/>
            </w:r>
            <w:r w:rsidR="00B018FB" w:rsidRPr="00B018FB">
              <w:rPr>
                <w:noProof/>
                <w:webHidden/>
              </w:rPr>
              <w:instrText xml:space="preserve"> PAGEREF _Toc26913259 \h </w:instrText>
            </w:r>
            <w:r w:rsidR="00B018FB" w:rsidRPr="00B018FB">
              <w:rPr>
                <w:noProof/>
                <w:webHidden/>
              </w:rPr>
            </w:r>
            <w:r w:rsidR="00B018FB" w:rsidRPr="00B018FB">
              <w:rPr>
                <w:noProof/>
                <w:webHidden/>
              </w:rPr>
              <w:fldChar w:fldCharType="separate"/>
            </w:r>
            <w:r w:rsidR="00322811">
              <w:rPr>
                <w:noProof/>
                <w:webHidden/>
              </w:rPr>
              <w:t>50</w:t>
            </w:r>
            <w:r w:rsidR="00B018FB" w:rsidRPr="00B018FB">
              <w:rPr>
                <w:noProof/>
                <w:webHidden/>
              </w:rPr>
              <w:fldChar w:fldCharType="end"/>
            </w:r>
          </w:hyperlink>
        </w:p>
        <w:p w:rsidR="00B018FB" w:rsidRPr="00B018FB" w:rsidRDefault="00465E85">
          <w:pPr>
            <w:pStyle w:val="TDC1"/>
            <w:tabs>
              <w:tab w:val="right" w:leader="dot" w:pos="8828"/>
            </w:tabs>
            <w:rPr>
              <w:rFonts w:eastAsiaTheme="minorEastAsia" w:cstheme="minorBidi"/>
              <w:b w:val="0"/>
              <w:bCs w:val="0"/>
              <w:i w:val="0"/>
              <w:iCs w:val="0"/>
              <w:noProof/>
              <w:sz w:val="22"/>
              <w:szCs w:val="22"/>
              <w:lang w:val="es-MX"/>
            </w:rPr>
          </w:pPr>
          <w:hyperlink w:anchor="_Toc26913260" w:history="1">
            <w:r w:rsidR="00B018FB" w:rsidRPr="00B018FB">
              <w:rPr>
                <w:rStyle w:val="Hipervnculo"/>
                <w:rFonts w:ascii="Arial" w:hAnsi="Arial" w:cs="Arial"/>
                <w:noProof/>
                <w:sz w:val="22"/>
                <w:szCs w:val="22"/>
              </w:rPr>
              <w:t>PODER JUDICIAL</w:t>
            </w:r>
            <w:r w:rsidR="00B018FB" w:rsidRPr="00B018FB">
              <w:rPr>
                <w:noProof/>
                <w:webHidden/>
                <w:sz w:val="22"/>
                <w:szCs w:val="22"/>
              </w:rPr>
              <w:tab/>
            </w:r>
            <w:r w:rsidR="00B018FB" w:rsidRPr="00B018FB">
              <w:rPr>
                <w:noProof/>
                <w:webHidden/>
                <w:sz w:val="22"/>
                <w:szCs w:val="22"/>
              </w:rPr>
              <w:fldChar w:fldCharType="begin"/>
            </w:r>
            <w:r w:rsidR="00B018FB" w:rsidRPr="00B018FB">
              <w:rPr>
                <w:noProof/>
                <w:webHidden/>
                <w:sz w:val="22"/>
                <w:szCs w:val="22"/>
              </w:rPr>
              <w:instrText xml:space="preserve"> PAGEREF _Toc26913260 \h </w:instrText>
            </w:r>
            <w:r w:rsidR="00B018FB" w:rsidRPr="00B018FB">
              <w:rPr>
                <w:noProof/>
                <w:webHidden/>
                <w:sz w:val="22"/>
                <w:szCs w:val="22"/>
              </w:rPr>
            </w:r>
            <w:r w:rsidR="00B018FB" w:rsidRPr="00B018FB">
              <w:rPr>
                <w:noProof/>
                <w:webHidden/>
                <w:sz w:val="22"/>
                <w:szCs w:val="22"/>
              </w:rPr>
              <w:fldChar w:fldCharType="separate"/>
            </w:r>
            <w:r w:rsidR="00322811">
              <w:rPr>
                <w:noProof/>
                <w:webHidden/>
                <w:sz w:val="22"/>
                <w:szCs w:val="22"/>
              </w:rPr>
              <w:t>54</w:t>
            </w:r>
            <w:r w:rsidR="00B018FB" w:rsidRPr="00B018FB">
              <w:rPr>
                <w:noProof/>
                <w:webHidden/>
                <w:sz w:val="22"/>
                <w:szCs w:val="22"/>
              </w:rPr>
              <w:fldChar w:fldCharType="end"/>
            </w:r>
          </w:hyperlink>
        </w:p>
        <w:p w:rsidR="00B018FB" w:rsidRPr="00B018FB" w:rsidRDefault="00465E85">
          <w:pPr>
            <w:pStyle w:val="TDC2"/>
            <w:tabs>
              <w:tab w:val="right" w:leader="dot" w:pos="8828"/>
            </w:tabs>
            <w:rPr>
              <w:rFonts w:eastAsiaTheme="minorEastAsia" w:cstheme="minorBidi"/>
              <w:b w:val="0"/>
              <w:bCs w:val="0"/>
              <w:noProof/>
              <w:lang w:val="es-MX"/>
            </w:rPr>
          </w:pPr>
          <w:hyperlink w:anchor="_Toc26913261" w:history="1">
            <w:r w:rsidR="00B018FB" w:rsidRPr="00B018FB">
              <w:rPr>
                <w:rStyle w:val="Hipervnculo"/>
                <w:rFonts w:ascii="Arial" w:hAnsi="Arial" w:cs="Arial"/>
                <w:noProof/>
              </w:rPr>
              <w:t>Análisis global de cumplimiento del Poder Judicial</w:t>
            </w:r>
            <w:r w:rsidR="00B018FB" w:rsidRPr="00B018FB">
              <w:rPr>
                <w:noProof/>
                <w:webHidden/>
              </w:rPr>
              <w:tab/>
            </w:r>
            <w:r w:rsidR="00B018FB" w:rsidRPr="00B018FB">
              <w:rPr>
                <w:noProof/>
                <w:webHidden/>
              </w:rPr>
              <w:fldChar w:fldCharType="begin"/>
            </w:r>
            <w:r w:rsidR="00B018FB" w:rsidRPr="00B018FB">
              <w:rPr>
                <w:noProof/>
                <w:webHidden/>
              </w:rPr>
              <w:instrText xml:space="preserve"> PAGEREF _Toc26913261 \h </w:instrText>
            </w:r>
            <w:r w:rsidR="00B018FB" w:rsidRPr="00B018FB">
              <w:rPr>
                <w:noProof/>
                <w:webHidden/>
              </w:rPr>
            </w:r>
            <w:r w:rsidR="00B018FB" w:rsidRPr="00B018FB">
              <w:rPr>
                <w:noProof/>
                <w:webHidden/>
              </w:rPr>
              <w:fldChar w:fldCharType="separate"/>
            </w:r>
            <w:r w:rsidR="00322811">
              <w:rPr>
                <w:noProof/>
                <w:webHidden/>
              </w:rPr>
              <w:t>55</w:t>
            </w:r>
            <w:r w:rsidR="00B018FB" w:rsidRPr="00B018FB">
              <w:rPr>
                <w:noProof/>
                <w:webHidden/>
              </w:rPr>
              <w:fldChar w:fldCharType="end"/>
            </w:r>
          </w:hyperlink>
        </w:p>
        <w:p w:rsidR="00B018FB" w:rsidRPr="00B018FB" w:rsidRDefault="00465E85">
          <w:pPr>
            <w:pStyle w:val="TDC1"/>
            <w:tabs>
              <w:tab w:val="right" w:leader="dot" w:pos="8828"/>
            </w:tabs>
            <w:rPr>
              <w:rFonts w:eastAsiaTheme="minorEastAsia" w:cstheme="minorBidi"/>
              <w:b w:val="0"/>
              <w:bCs w:val="0"/>
              <w:i w:val="0"/>
              <w:iCs w:val="0"/>
              <w:noProof/>
              <w:sz w:val="22"/>
              <w:szCs w:val="22"/>
              <w:lang w:val="es-MX"/>
            </w:rPr>
          </w:pPr>
          <w:hyperlink w:anchor="_Toc26913262" w:history="1">
            <w:r w:rsidR="00B018FB" w:rsidRPr="00B018FB">
              <w:rPr>
                <w:rStyle w:val="Hipervnculo"/>
                <w:rFonts w:ascii="Arial" w:hAnsi="Arial" w:cs="Arial"/>
                <w:noProof/>
                <w:sz w:val="22"/>
                <w:szCs w:val="22"/>
              </w:rPr>
              <w:t>ÓRGANOS AUTÓNOMOS</w:t>
            </w:r>
            <w:r w:rsidR="00B018FB" w:rsidRPr="00B018FB">
              <w:rPr>
                <w:noProof/>
                <w:webHidden/>
                <w:sz w:val="22"/>
                <w:szCs w:val="22"/>
              </w:rPr>
              <w:tab/>
            </w:r>
            <w:r w:rsidR="00B018FB" w:rsidRPr="00B018FB">
              <w:rPr>
                <w:noProof/>
                <w:webHidden/>
                <w:sz w:val="22"/>
                <w:szCs w:val="22"/>
              </w:rPr>
              <w:fldChar w:fldCharType="begin"/>
            </w:r>
            <w:r w:rsidR="00B018FB" w:rsidRPr="00B018FB">
              <w:rPr>
                <w:noProof/>
                <w:webHidden/>
                <w:sz w:val="22"/>
                <w:szCs w:val="22"/>
              </w:rPr>
              <w:instrText xml:space="preserve"> PAGEREF _Toc26913262 \h </w:instrText>
            </w:r>
            <w:r w:rsidR="00B018FB" w:rsidRPr="00B018FB">
              <w:rPr>
                <w:noProof/>
                <w:webHidden/>
                <w:sz w:val="22"/>
                <w:szCs w:val="22"/>
              </w:rPr>
            </w:r>
            <w:r w:rsidR="00B018FB" w:rsidRPr="00B018FB">
              <w:rPr>
                <w:noProof/>
                <w:webHidden/>
                <w:sz w:val="22"/>
                <w:szCs w:val="22"/>
              </w:rPr>
              <w:fldChar w:fldCharType="separate"/>
            </w:r>
            <w:r w:rsidR="00322811">
              <w:rPr>
                <w:noProof/>
                <w:webHidden/>
                <w:sz w:val="22"/>
                <w:szCs w:val="22"/>
              </w:rPr>
              <w:t>58</w:t>
            </w:r>
            <w:r w:rsidR="00B018FB" w:rsidRPr="00B018FB">
              <w:rPr>
                <w:noProof/>
                <w:webHidden/>
                <w:sz w:val="22"/>
                <w:szCs w:val="22"/>
              </w:rPr>
              <w:fldChar w:fldCharType="end"/>
            </w:r>
          </w:hyperlink>
        </w:p>
        <w:p w:rsidR="00B018FB" w:rsidRPr="00B018FB" w:rsidRDefault="00465E85">
          <w:pPr>
            <w:pStyle w:val="TDC2"/>
            <w:tabs>
              <w:tab w:val="right" w:leader="dot" w:pos="8828"/>
            </w:tabs>
            <w:rPr>
              <w:rFonts w:eastAsiaTheme="minorEastAsia" w:cstheme="minorBidi"/>
              <w:b w:val="0"/>
              <w:bCs w:val="0"/>
              <w:noProof/>
              <w:lang w:val="es-MX"/>
            </w:rPr>
          </w:pPr>
          <w:hyperlink w:anchor="_Toc26913263" w:history="1">
            <w:r w:rsidR="00B018FB" w:rsidRPr="00B018FB">
              <w:rPr>
                <w:rStyle w:val="Hipervnculo"/>
                <w:rFonts w:ascii="Arial" w:hAnsi="Arial" w:cs="Arial"/>
                <w:noProof/>
              </w:rPr>
              <w:t>Análisis global de cumplimiento de los Órganos Autónomos</w:t>
            </w:r>
            <w:r w:rsidR="00B018FB" w:rsidRPr="00B018FB">
              <w:rPr>
                <w:noProof/>
                <w:webHidden/>
              </w:rPr>
              <w:tab/>
            </w:r>
            <w:r w:rsidR="00B018FB" w:rsidRPr="00B018FB">
              <w:rPr>
                <w:noProof/>
                <w:webHidden/>
              </w:rPr>
              <w:fldChar w:fldCharType="begin"/>
            </w:r>
            <w:r w:rsidR="00B018FB" w:rsidRPr="00B018FB">
              <w:rPr>
                <w:noProof/>
                <w:webHidden/>
              </w:rPr>
              <w:instrText xml:space="preserve"> PAGEREF _Toc26913263 \h </w:instrText>
            </w:r>
            <w:r w:rsidR="00B018FB" w:rsidRPr="00B018FB">
              <w:rPr>
                <w:noProof/>
                <w:webHidden/>
              </w:rPr>
            </w:r>
            <w:r w:rsidR="00B018FB" w:rsidRPr="00B018FB">
              <w:rPr>
                <w:noProof/>
                <w:webHidden/>
              </w:rPr>
              <w:fldChar w:fldCharType="separate"/>
            </w:r>
            <w:r w:rsidR="00322811">
              <w:rPr>
                <w:noProof/>
                <w:webHidden/>
              </w:rPr>
              <w:t>60</w:t>
            </w:r>
            <w:r w:rsidR="00B018FB" w:rsidRPr="00B018FB">
              <w:rPr>
                <w:noProof/>
                <w:webHidden/>
              </w:rPr>
              <w:fldChar w:fldCharType="end"/>
            </w:r>
          </w:hyperlink>
        </w:p>
        <w:p w:rsidR="00B018FB" w:rsidRPr="00B018FB" w:rsidRDefault="00465E85">
          <w:pPr>
            <w:pStyle w:val="TDC1"/>
            <w:tabs>
              <w:tab w:val="right" w:leader="dot" w:pos="8828"/>
            </w:tabs>
            <w:rPr>
              <w:rFonts w:eastAsiaTheme="minorEastAsia" w:cstheme="minorBidi"/>
              <w:b w:val="0"/>
              <w:bCs w:val="0"/>
              <w:i w:val="0"/>
              <w:iCs w:val="0"/>
              <w:noProof/>
              <w:sz w:val="22"/>
              <w:szCs w:val="22"/>
              <w:lang w:val="es-MX"/>
            </w:rPr>
          </w:pPr>
          <w:hyperlink w:anchor="_Toc26913264" w:history="1">
            <w:r w:rsidR="00B018FB" w:rsidRPr="00B018FB">
              <w:rPr>
                <w:rStyle w:val="Hipervnculo"/>
                <w:rFonts w:ascii="Arial" w:hAnsi="Arial" w:cs="Arial"/>
                <w:noProof/>
                <w:sz w:val="22"/>
                <w:szCs w:val="22"/>
              </w:rPr>
              <w:t>PARTIDOS POLÍTICOS</w:t>
            </w:r>
            <w:r w:rsidR="00B018FB" w:rsidRPr="00B018FB">
              <w:rPr>
                <w:noProof/>
                <w:webHidden/>
                <w:sz w:val="22"/>
                <w:szCs w:val="22"/>
              </w:rPr>
              <w:tab/>
            </w:r>
            <w:r w:rsidR="00B018FB" w:rsidRPr="00B018FB">
              <w:rPr>
                <w:noProof/>
                <w:webHidden/>
                <w:sz w:val="22"/>
                <w:szCs w:val="22"/>
              </w:rPr>
              <w:fldChar w:fldCharType="begin"/>
            </w:r>
            <w:r w:rsidR="00B018FB" w:rsidRPr="00B018FB">
              <w:rPr>
                <w:noProof/>
                <w:webHidden/>
                <w:sz w:val="22"/>
                <w:szCs w:val="22"/>
              </w:rPr>
              <w:instrText xml:space="preserve"> PAGEREF _Toc26913264 \h </w:instrText>
            </w:r>
            <w:r w:rsidR="00B018FB" w:rsidRPr="00B018FB">
              <w:rPr>
                <w:noProof/>
                <w:webHidden/>
                <w:sz w:val="22"/>
                <w:szCs w:val="22"/>
              </w:rPr>
            </w:r>
            <w:r w:rsidR="00B018FB" w:rsidRPr="00B018FB">
              <w:rPr>
                <w:noProof/>
                <w:webHidden/>
                <w:sz w:val="22"/>
                <w:szCs w:val="22"/>
              </w:rPr>
              <w:fldChar w:fldCharType="separate"/>
            </w:r>
            <w:r w:rsidR="00322811">
              <w:rPr>
                <w:noProof/>
                <w:webHidden/>
                <w:sz w:val="22"/>
                <w:szCs w:val="22"/>
              </w:rPr>
              <w:t>64</w:t>
            </w:r>
            <w:r w:rsidR="00B018FB" w:rsidRPr="00B018FB">
              <w:rPr>
                <w:noProof/>
                <w:webHidden/>
                <w:sz w:val="22"/>
                <w:szCs w:val="22"/>
              </w:rPr>
              <w:fldChar w:fldCharType="end"/>
            </w:r>
          </w:hyperlink>
        </w:p>
        <w:p w:rsidR="00B018FB" w:rsidRPr="00B018FB" w:rsidRDefault="00465E85">
          <w:pPr>
            <w:pStyle w:val="TDC2"/>
            <w:tabs>
              <w:tab w:val="right" w:leader="dot" w:pos="8828"/>
            </w:tabs>
            <w:rPr>
              <w:rFonts w:eastAsiaTheme="minorEastAsia" w:cstheme="minorBidi"/>
              <w:b w:val="0"/>
              <w:bCs w:val="0"/>
              <w:noProof/>
              <w:lang w:val="es-MX"/>
            </w:rPr>
          </w:pPr>
          <w:hyperlink w:anchor="_Toc26913265" w:history="1">
            <w:r w:rsidR="00B018FB" w:rsidRPr="00B018FB">
              <w:rPr>
                <w:rStyle w:val="Hipervnculo"/>
                <w:rFonts w:ascii="Arial" w:hAnsi="Arial" w:cs="Arial"/>
                <w:noProof/>
              </w:rPr>
              <w:t>Análisis global de cumplimiento de los Partidos Políticos</w:t>
            </w:r>
            <w:r w:rsidR="00B018FB" w:rsidRPr="00B018FB">
              <w:rPr>
                <w:noProof/>
                <w:webHidden/>
              </w:rPr>
              <w:tab/>
            </w:r>
            <w:r w:rsidR="00B018FB" w:rsidRPr="00B018FB">
              <w:rPr>
                <w:noProof/>
                <w:webHidden/>
              </w:rPr>
              <w:fldChar w:fldCharType="begin"/>
            </w:r>
            <w:r w:rsidR="00B018FB" w:rsidRPr="00B018FB">
              <w:rPr>
                <w:noProof/>
                <w:webHidden/>
              </w:rPr>
              <w:instrText xml:space="preserve"> PAGEREF _Toc26913265 \h </w:instrText>
            </w:r>
            <w:r w:rsidR="00B018FB" w:rsidRPr="00B018FB">
              <w:rPr>
                <w:noProof/>
                <w:webHidden/>
              </w:rPr>
            </w:r>
            <w:r w:rsidR="00B018FB" w:rsidRPr="00B018FB">
              <w:rPr>
                <w:noProof/>
                <w:webHidden/>
              </w:rPr>
              <w:fldChar w:fldCharType="separate"/>
            </w:r>
            <w:r w:rsidR="00322811">
              <w:rPr>
                <w:noProof/>
                <w:webHidden/>
              </w:rPr>
              <w:t>65</w:t>
            </w:r>
            <w:r w:rsidR="00B018FB" w:rsidRPr="00B018FB">
              <w:rPr>
                <w:noProof/>
                <w:webHidden/>
              </w:rPr>
              <w:fldChar w:fldCharType="end"/>
            </w:r>
          </w:hyperlink>
        </w:p>
        <w:p w:rsidR="00B018FB" w:rsidRPr="00B018FB" w:rsidRDefault="00465E85">
          <w:pPr>
            <w:pStyle w:val="TDC1"/>
            <w:tabs>
              <w:tab w:val="right" w:leader="dot" w:pos="8828"/>
            </w:tabs>
            <w:rPr>
              <w:rFonts w:eastAsiaTheme="minorEastAsia" w:cstheme="minorBidi"/>
              <w:b w:val="0"/>
              <w:bCs w:val="0"/>
              <w:i w:val="0"/>
              <w:iCs w:val="0"/>
              <w:noProof/>
              <w:sz w:val="22"/>
              <w:szCs w:val="22"/>
              <w:lang w:val="es-MX"/>
            </w:rPr>
          </w:pPr>
          <w:hyperlink w:anchor="_Toc26913266" w:history="1">
            <w:r w:rsidR="00B018FB" w:rsidRPr="00B018FB">
              <w:rPr>
                <w:rStyle w:val="Hipervnculo"/>
                <w:rFonts w:ascii="Arial" w:hAnsi="Arial" w:cs="Arial"/>
                <w:noProof/>
                <w:sz w:val="22"/>
                <w:szCs w:val="22"/>
              </w:rPr>
              <w:t>SINDICATOS</w:t>
            </w:r>
            <w:r w:rsidR="00B018FB" w:rsidRPr="00B018FB">
              <w:rPr>
                <w:noProof/>
                <w:webHidden/>
                <w:sz w:val="22"/>
                <w:szCs w:val="22"/>
              </w:rPr>
              <w:tab/>
            </w:r>
            <w:r w:rsidR="00B018FB" w:rsidRPr="00B018FB">
              <w:rPr>
                <w:noProof/>
                <w:webHidden/>
                <w:sz w:val="22"/>
                <w:szCs w:val="22"/>
              </w:rPr>
              <w:fldChar w:fldCharType="begin"/>
            </w:r>
            <w:r w:rsidR="00B018FB" w:rsidRPr="00B018FB">
              <w:rPr>
                <w:noProof/>
                <w:webHidden/>
                <w:sz w:val="22"/>
                <w:szCs w:val="22"/>
              </w:rPr>
              <w:instrText xml:space="preserve"> PAGEREF _Toc26913266 \h </w:instrText>
            </w:r>
            <w:r w:rsidR="00B018FB" w:rsidRPr="00B018FB">
              <w:rPr>
                <w:noProof/>
                <w:webHidden/>
                <w:sz w:val="22"/>
                <w:szCs w:val="22"/>
              </w:rPr>
            </w:r>
            <w:r w:rsidR="00B018FB" w:rsidRPr="00B018FB">
              <w:rPr>
                <w:noProof/>
                <w:webHidden/>
                <w:sz w:val="22"/>
                <w:szCs w:val="22"/>
              </w:rPr>
              <w:fldChar w:fldCharType="separate"/>
            </w:r>
            <w:r w:rsidR="00322811">
              <w:rPr>
                <w:noProof/>
                <w:webHidden/>
                <w:sz w:val="22"/>
                <w:szCs w:val="22"/>
              </w:rPr>
              <w:t>69</w:t>
            </w:r>
            <w:r w:rsidR="00B018FB" w:rsidRPr="00B018FB">
              <w:rPr>
                <w:noProof/>
                <w:webHidden/>
                <w:sz w:val="22"/>
                <w:szCs w:val="22"/>
              </w:rPr>
              <w:fldChar w:fldCharType="end"/>
            </w:r>
          </w:hyperlink>
        </w:p>
        <w:p w:rsidR="00B018FB" w:rsidRPr="00B018FB" w:rsidRDefault="00465E85">
          <w:pPr>
            <w:pStyle w:val="TDC2"/>
            <w:tabs>
              <w:tab w:val="right" w:leader="dot" w:pos="8828"/>
            </w:tabs>
            <w:rPr>
              <w:rFonts w:eastAsiaTheme="minorEastAsia" w:cstheme="minorBidi"/>
              <w:b w:val="0"/>
              <w:bCs w:val="0"/>
              <w:noProof/>
              <w:lang w:val="es-MX"/>
            </w:rPr>
          </w:pPr>
          <w:hyperlink w:anchor="_Toc26913267" w:history="1">
            <w:r w:rsidR="00B018FB" w:rsidRPr="00B018FB">
              <w:rPr>
                <w:rStyle w:val="Hipervnculo"/>
                <w:rFonts w:ascii="Arial" w:hAnsi="Arial" w:cs="Arial"/>
                <w:noProof/>
              </w:rPr>
              <w:t>Análisis global de cumplimiento de los Sindicatos</w:t>
            </w:r>
            <w:r w:rsidR="00B018FB" w:rsidRPr="00B018FB">
              <w:rPr>
                <w:noProof/>
                <w:webHidden/>
              </w:rPr>
              <w:tab/>
            </w:r>
            <w:r w:rsidR="00B018FB" w:rsidRPr="00B018FB">
              <w:rPr>
                <w:noProof/>
                <w:webHidden/>
              </w:rPr>
              <w:fldChar w:fldCharType="begin"/>
            </w:r>
            <w:r w:rsidR="00B018FB" w:rsidRPr="00B018FB">
              <w:rPr>
                <w:noProof/>
                <w:webHidden/>
              </w:rPr>
              <w:instrText xml:space="preserve"> PAGEREF _Toc26913267 \h </w:instrText>
            </w:r>
            <w:r w:rsidR="00B018FB" w:rsidRPr="00B018FB">
              <w:rPr>
                <w:noProof/>
                <w:webHidden/>
              </w:rPr>
            </w:r>
            <w:r w:rsidR="00B018FB" w:rsidRPr="00B018FB">
              <w:rPr>
                <w:noProof/>
                <w:webHidden/>
              </w:rPr>
              <w:fldChar w:fldCharType="separate"/>
            </w:r>
            <w:r w:rsidR="00322811">
              <w:rPr>
                <w:noProof/>
                <w:webHidden/>
              </w:rPr>
              <w:t>71</w:t>
            </w:r>
            <w:r w:rsidR="00B018FB" w:rsidRPr="00B018FB">
              <w:rPr>
                <w:noProof/>
                <w:webHidden/>
              </w:rPr>
              <w:fldChar w:fldCharType="end"/>
            </w:r>
          </w:hyperlink>
        </w:p>
        <w:p w:rsidR="00B018FB" w:rsidRPr="00B018FB" w:rsidRDefault="00465E85">
          <w:pPr>
            <w:pStyle w:val="TDC1"/>
            <w:tabs>
              <w:tab w:val="right" w:leader="dot" w:pos="8828"/>
            </w:tabs>
            <w:rPr>
              <w:rFonts w:eastAsiaTheme="minorEastAsia" w:cstheme="minorBidi"/>
              <w:b w:val="0"/>
              <w:bCs w:val="0"/>
              <w:i w:val="0"/>
              <w:iCs w:val="0"/>
              <w:noProof/>
              <w:sz w:val="22"/>
              <w:szCs w:val="22"/>
              <w:lang w:val="es-MX"/>
            </w:rPr>
          </w:pPr>
          <w:hyperlink w:anchor="_Toc26913268" w:history="1">
            <w:r w:rsidR="00B018FB" w:rsidRPr="00B018FB">
              <w:rPr>
                <w:rStyle w:val="Hipervnculo"/>
                <w:rFonts w:ascii="Arial" w:hAnsi="Arial" w:cs="Arial"/>
                <w:noProof/>
                <w:sz w:val="22"/>
                <w:szCs w:val="22"/>
              </w:rPr>
              <w:t>CONCLUSIONES</w:t>
            </w:r>
            <w:r w:rsidR="00B018FB" w:rsidRPr="00B018FB">
              <w:rPr>
                <w:noProof/>
                <w:webHidden/>
                <w:sz w:val="22"/>
                <w:szCs w:val="22"/>
              </w:rPr>
              <w:tab/>
            </w:r>
            <w:r w:rsidR="00B018FB" w:rsidRPr="00B018FB">
              <w:rPr>
                <w:noProof/>
                <w:webHidden/>
                <w:sz w:val="22"/>
                <w:szCs w:val="22"/>
              </w:rPr>
              <w:fldChar w:fldCharType="begin"/>
            </w:r>
            <w:r w:rsidR="00B018FB" w:rsidRPr="00B018FB">
              <w:rPr>
                <w:noProof/>
                <w:webHidden/>
                <w:sz w:val="22"/>
                <w:szCs w:val="22"/>
              </w:rPr>
              <w:instrText xml:space="preserve"> PAGEREF _Toc26913268 \h </w:instrText>
            </w:r>
            <w:r w:rsidR="00B018FB" w:rsidRPr="00B018FB">
              <w:rPr>
                <w:noProof/>
                <w:webHidden/>
                <w:sz w:val="22"/>
                <w:szCs w:val="22"/>
              </w:rPr>
            </w:r>
            <w:r w:rsidR="00B018FB" w:rsidRPr="00B018FB">
              <w:rPr>
                <w:noProof/>
                <w:webHidden/>
                <w:sz w:val="22"/>
                <w:szCs w:val="22"/>
              </w:rPr>
              <w:fldChar w:fldCharType="separate"/>
            </w:r>
            <w:r w:rsidR="00322811">
              <w:rPr>
                <w:noProof/>
                <w:webHidden/>
                <w:sz w:val="22"/>
                <w:szCs w:val="22"/>
              </w:rPr>
              <w:t>75</w:t>
            </w:r>
            <w:r w:rsidR="00B018FB" w:rsidRPr="00B018FB">
              <w:rPr>
                <w:noProof/>
                <w:webHidden/>
                <w:sz w:val="22"/>
                <w:szCs w:val="22"/>
              </w:rPr>
              <w:fldChar w:fldCharType="end"/>
            </w:r>
          </w:hyperlink>
        </w:p>
        <w:p w:rsidR="00B018FB" w:rsidRPr="00B018FB" w:rsidRDefault="00465E85">
          <w:pPr>
            <w:pStyle w:val="TDC1"/>
            <w:tabs>
              <w:tab w:val="right" w:leader="dot" w:pos="8828"/>
            </w:tabs>
            <w:rPr>
              <w:rFonts w:eastAsiaTheme="minorEastAsia" w:cstheme="minorBidi"/>
              <w:b w:val="0"/>
              <w:bCs w:val="0"/>
              <w:i w:val="0"/>
              <w:iCs w:val="0"/>
              <w:noProof/>
              <w:sz w:val="22"/>
              <w:szCs w:val="22"/>
              <w:lang w:val="es-MX"/>
            </w:rPr>
          </w:pPr>
          <w:hyperlink w:anchor="_Toc26913269" w:history="1">
            <w:r w:rsidR="00B018FB" w:rsidRPr="00B018FB">
              <w:rPr>
                <w:rStyle w:val="Hipervnculo"/>
                <w:rFonts w:ascii="Arial" w:hAnsi="Arial" w:cs="Arial"/>
                <w:noProof/>
                <w:sz w:val="22"/>
                <w:szCs w:val="22"/>
              </w:rPr>
              <w:t>LÍNEAS DE ACCIÓN</w:t>
            </w:r>
            <w:r w:rsidR="00B018FB" w:rsidRPr="00B018FB">
              <w:rPr>
                <w:noProof/>
                <w:webHidden/>
                <w:sz w:val="22"/>
                <w:szCs w:val="22"/>
              </w:rPr>
              <w:tab/>
            </w:r>
            <w:r w:rsidR="00B018FB" w:rsidRPr="00B018FB">
              <w:rPr>
                <w:noProof/>
                <w:webHidden/>
                <w:sz w:val="22"/>
                <w:szCs w:val="22"/>
              </w:rPr>
              <w:fldChar w:fldCharType="begin"/>
            </w:r>
            <w:r w:rsidR="00B018FB" w:rsidRPr="00B018FB">
              <w:rPr>
                <w:noProof/>
                <w:webHidden/>
                <w:sz w:val="22"/>
                <w:szCs w:val="22"/>
              </w:rPr>
              <w:instrText xml:space="preserve"> PAGEREF _Toc26913269 \h </w:instrText>
            </w:r>
            <w:r w:rsidR="00B018FB" w:rsidRPr="00B018FB">
              <w:rPr>
                <w:noProof/>
                <w:webHidden/>
                <w:sz w:val="22"/>
                <w:szCs w:val="22"/>
              </w:rPr>
            </w:r>
            <w:r w:rsidR="00B018FB" w:rsidRPr="00B018FB">
              <w:rPr>
                <w:noProof/>
                <w:webHidden/>
                <w:sz w:val="22"/>
                <w:szCs w:val="22"/>
              </w:rPr>
              <w:fldChar w:fldCharType="separate"/>
            </w:r>
            <w:r w:rsidR="00322811">
              <w:rPr>
                <w:noProof/>
                <w:webHidden/>
                <w:sz w:val="22"/>
                <w:szCs w:val="22"/>
              </w:rPr>
              <w:t>76</w:t>
            </w:r>
            <w:r w:rsidR="00B018FB" w:rsidRPr="00B018FB">
              <w:rPr>
                <w:noProof/>
                <w:webHidden/>
                <w:sz w:val="22"/>
                <w:szCs w:val="22"/>
              </w:rPr>
              <w:fldChar w:fldCharType="end"/>
            </w:r>
          </w:hyperlink>
        </w:p>
        <w:p w:rsidR="000D019A" w:rsidRPr="003B1FCE" w:rsidRDefault="000D019A" w:rsidP="00B018FB">
          <w:pPr>
            <w:jc w:val="both"/>
          </w:pPr>
          <w:r w:rsidRPr="00B018FB">
            <w:rPr>
              <w:rFonts w:ascii="Arial" w:hAnsi="Arial" w:cs="Arial"/>
              <w:b/>
              <w:bCs/>
              <w:sz w:val="22"/>
              <w:szCs w:val="22"/>
            </w:rPr>
            <w:fldChar w:fldCharType="end"/>
          </w:r>
        </w:p>
      </w:sdtContent>
    </w:sdt>
    <w:p w:rsidR="00FF7BD9" w:rsidRPr="003B1FCE" w:rsidRDefault="00FF7BD9" w:rsidP="00443C3B">
      <w:pPr>
        <w:pStyle w:val="Ttulo1"/>
        <w:contextualSpacing/>
        <w:rPr>
          <w:rFonts w:ascii="Arial" w:hAnsi="Arial" w:cs="Arial"/>
          <w:b/>
          <w:color w:val="000000" w:themeColor="text1"/>
          <w:sz w:val="24"/>
          <w:szCs w:val="24"/>
        </w:rPr>
      </w:pPr>
      <w:bookmarkStart w:id="1" w:name="_Toc26913244"/>
      <w:r w:rsidRPr="003B1FCE">
        <w:rPr>
          <w:rFonts w:ascii="Arial" w:hAnsi="Arial" w:cs="Arial"/>
          <w:b/>
          <w:color w:val="000000" w:themeColor="text1"/>
          <w:sz w:val="24"/>
          <w:szCs w:val="24"/>
        </w:rPr>
        <w:lastRenderedPageBreak/>
        <w:t>INTRODUCCIÓN</w:t>
      </w:r>
      <w:bookmarkEnd w:id="1"/>
    </w:p>
    <w:p w:rsidR="00FF7BD9" w:rsidRPr="003B1FCE" w:rsidRDefault="00FF7BD9" w:rsidP="00443C3B">
      <w:pPr>
        <w:pStyle w:val="Ttulo1"/>
        <w:contextualSpacing/>
        <w:rPr>
          <w:rFonts w:ascii="Arial" w:hAnsi="Arial" w:cs="Arial"/>
          <w:b/>
          <w:color w:val="000000" w:themeColor="text1"/>
          <w:sz w:val="24"/>
          <w:szCs w:val="24"/>
        </w:rPr>
      </w:pPr>
    </w:p>
    <w:p w:rsidR="000D019A" w:rsidRPr="003B1FCE" w:rsidRDefault="000D019A" w:rsidP="000D019A">
      <w:pPr>
        <w:autoSpaceDE w:val="0"/>
        <w:autoSpaceDN w:val="0"/>
        <w:adjustRightInd w:val="0"/>
        <w:spacing w:line="360" w:lineRule="auto"/>
        <w:contextualSpacing/>
        <w:jc w:val="both"/>
        <w:rPr>
          <w:rFonts w:ascii="Arial" w:hAnsi="Arial" w:cs="Arial"/>
        </w:rPr>
      </w:pPr>
      <w:r w:rsidRPr="003B1FCE">
        <w:rPr>
          <w:rFonts w:ascii="Arial" w:hAnsi="Arial" w:cs="Arial"/>
        </w:rPr>
        <w:t xml:space="preserve">Durante los meses de octubre y noviembre, el Instituto de Transparencia, Acceso a la Información Pública, Protección de Datos Personales y Rendición de Cuentas de la Ciudad de México (INFO), a través de la Dirección de Estado Abierto, Estudios y Evaluación realizó la Tercera Evaluación Vinculante del año 2019, respecto de las recomendaciones y observaciones de la Primera Evaluación Vinculante 2019, respecto del ejercicio 2018. </w:t>
      </w:r>
    </w:p>
    <w:p w:rsidR="000D019A" w:rsidRPr="003B1FCE" w:rsidRDefault="000D019A" w:rsidP="000D019A">
      <w:pPr>
        <w:autoSpaceDE w:val="0"/>
        <w:autoSpaceDN w:val="0"/>
        <w:adjustRightInd w:val="0"/>
        <w:spacing w:line="360" w:lineRule="auto"/>
        <w:contextualSpacing/>
        <w:jc w:val="both"/>
        <w:rPr>
          <w:rFonts w:ascii="Arial" w:hAnsi="Arial" w:cs="Arial"/>
        </w:rPr>
      </w:pPr>
    </w:p>
    <w:p w:rsidR="000D019A" w:rsidRPr="003B1FCE" w:rsidRDefault="000D019A" w:rsidP="000D019A">
      <w:pPr>
        <w:autoSpaceDE w:val="0"/>
        <w:autoSpaceDN w:val="0"/>
        <w:adjustRightInd w:val="0"/>
        <w:spacing w:line="360" w:lineRule="auto"/>
        <w:contextualSpacing/>
        <w:jc w:val="both"/>
        <w:rPr>
          <w:rFonts w:ascii="Arial" w:hAnsi="Arial" w:cs="Arial"/>
        </w:rPr>
      </w:pPr>
      <w:r w:rsidRPr="003B1FCE">
        <w:rPr>
          <w:rFonts w:ascii="Arial" w:hAnsi="Arial" w:cs="Arial"/>
        </w:rPr>
        <w:t>El Padrón de Sujetos Obligados vigente al 31 de diciembre de 2018 está integrado por 146 sujetos; de los cuales 7</w:t>
      </w:r>
      <w:r w:rsidRPr="003B1FCE">
        <w:rPr>
          <w:rStyle w:val="Refdenotaalpie"/>
          <w:rFonts w:ascii="Arial" w:hAnsi="Arial" w:cs="Arial"/>
        </w:rPr>
        <w:footnoteReference w:id="1"/>
      </w:r>
      <w:r w:rsidRPr="003B1FCE">
        <w:rPr>
          <w:rFonts w:ascii="Arial" w:hAnsi="Arial" w:cs="Arial"/>
        </w:rPr>
        <w:t xml:space="preserve"> obtuvieron un cumplimiento total en la Primera Evaluación Vinculante del año 2019, por lo que únicamente se tuvo que evaluar a los 139 sujetos que no cumplieron a cabalidad con las obligaciones de la Ley de Transparencia Local.</w:t>
      </w:r>
    </w:p>
    <w:p w:rsidR="000D019A" w:rsidRPr="003B1FCE" w:rsidRDefault="000D019A" w:rsidP="000D019A">
      <w:pPr>
        <w:autoSpaceDE w:val="0"/>
        <w:autoSpaceDN w:val="0"/>
        <w:adjustRightInd w:val="0"/>
        <w:spacing w:line="360" w:lineRule="auto"/>
        <w:contextualSpacing/>
        <w:jc w:val="both"/>
        <w:rPr>
          <w:rFonts w:ascii="Arial" w:hAnsi="Arial" w:cs="Arial"/>
        </w:rPr>
      </w:pPr>
    </w:p>
    <w:p w:rsidR="003B1FCE" w:rsidRPr="003B1FCE" w:rsidRDefault="000D019A" w:rsidP="000D019A">
      <w:pPr>
        <w:autoSpaceDE w:val="0"/>
        <w:autoSpaceDN w:val="0"/>
        <w:adjustRightInd w:val="0"/>
        <w:spacing w:line="360" w:lineRule="auto"/>
        <w:contextualSpacing/>
        <w:jc w:val="both"/>
        <w:rPr>
          <w:rFonts w:ascii="Arial" w:hAnsi="Arial" w:cs="Arial"/>
        </w:rPr>
      </w:pPr>
      <w:r w:rsidRPr="003B1FCE">
        <w:rPr>
          <w:rFonts w:ascii="Arial" w:hAnsi="Arial" w:cs="Arial"/>
        </w:rPr>
        <w:t>En específico, la evaluación consistió en verificar que los 139 sujetos obligados hubieran atendido a cabalidad las recomendaciones y observaciones que fueron proporcionadas a cada sujeto, a través de sus respectivos dict</w:t>
      </w:r>
      <w:r w:rsidR="003B1FCE" w:rsidRPr="003B1FCE">
        <w:rPr>
          <w:rFonts w:ascii="Arial" w:hAnsi="Arial" w:cs="Arial"/>
        </w:rPr>
        <w:t>á</w:t>
      </w:r>
      <w:r w:rsidRPr="003B1FCE">
        <w:rPr>
          <w:rFonts w:ascii="Arial" w:hAnsi="Arial" w:cs="Arial"/>
        </w:rPr>
        <w:t>m</w:t>
      </w:r>
      <w:r w:rsidR="003B1FCE">
        <w:rPr>
          <w:rFonts w:ascii="Arial" w:hAnsi="Arial" w:cs="Arial"/>
        </w:rPr>
        <w:t>enes</w:t>
      </w:r>
      <w:r w:rsidRPr="003B1FCE">
        <w:rPr>
          <w:rFonts w:ascii="Arial" w:hAnsi="Arial" w:cs="Arial"/>
        </w:rPr>
        <w:t xml:space="preserve"> de evaluación; por tal motivo, únicamente se observaron los artículos y fracciones que presentaba algún área de oportunidad. </w:t>
      </w:r>
    </w:p>
    <w:p w:rsidR="003B1FCE" w:rsidRPr="003B1FCE" w:rsidRDefault="003B1FCE" w:rsidP="000D019A">
      <w:pPr>
        <w:autoSpaceDE w:val="0"/>
        <w:autoSpaceDN w:val="0"/>
        <w:adjustRightInd w:val="0"/>
        <w:spacing w:line="360" w:lineRule="auto"/>
        <w:contextualSpacing/>
        <w:jc w:val="both"/>
        <w:rPr>
          <w:rFonts w:ascii="Arial" w:hAnsi="Arial" w:cs="Arial"/>
        </w:rPr>
      </w:pPr>
    </w:p>
    <w:p w:rsidR="000D019A" w:rsidRPr="003B1FCE" w:rsidRDefault="00A84315" w:rsidP="000D019A">
      <w:pPr>
        <w:autoSpaceDE w:val="0"/>
        <w:autoSpaceDN w:val="0"/>
        <w:adjustRightInd w:val="0"/>
        <w:spacing w:line="360" w:lineRule="auto"/>
        <w:contextualSpacing/>
        <w:jc w:val="both"/>
        <w:rPr>
          <w:rFonts w:ascii="Arial" w:hAnsi="Arial" w:cs="Arial"/>
        </w:rPr>
      </w:pPr>
      <w:r w:rsidRPr="003B1FCE">
        <w:rPr>
          <w:rFonts w:ascii="Arial" w:hAnsi="Arial" w:cs="Arial"/>
        </w:rPr>
        <w:t>Es decir, esta evaluación solo busca revisar puntos específicos que fueron señalados como recomendaciones y observaciones; mientras aquellas obligaciones que sí fueron cumplidas a cabalidad en la primera evaluación</w:t>
      </w:r>
      <w:r w:rsidR="00D71D7B">
        <w:rPr>
          <w:rFonts w:ascii="Arial" w:hAnsi="Arial" w:cs="Arial"/>
        </w:rPr>
        <w:t xml:space="preserve"> </w:t>
      </w:r>
      <w:r w:rsidRPr="003B1FCE">
        <w:rPr>
          <w:rFonts w:ascii="Arial" w:hAnsi="Arial" w:cs="Arial"/>
        </w:rPr>
        <w:t xml:space="preserve">no fueron objeto de revisión en esta tercera evaluación de </w:t>
      </w:r>
      <w:proofErr w:type="spellStart"/>
      <w:r w:rsidRPr="003B1FCE">
        <w:rPr>
          <w:rFonts w:ascii="Arial" w:hAnsi="Arial" w:cs="Arial"/>
        </w:rPr>
        <w:t>solventación</w:t>
      </w:r>
      <w:proofErr w:type="spellEnd"/>
      <w:r w:rsidRPr="003B1FCE">
        <w:rPr>
          <w:rFonts w:ascii="Arial" w:hAnsi="Arial" w:cs="Arial"/>
        </w:rPr>
        <w:t xml:space="preserve">. </w:t>
      </w:r>
    </w:p>
    <w:p w:rsidR="000D019A" w:rsidRPr="003B1FCE" w:rsidRDefault="000D019A" w:rsidP="000D019A">
      <w:pPr>
        <w:autoSpaceDE w:val="0"/>
        <w:autoSpaceDN w:val="0"/>
        <w:adjustRightInd w:val="0"/>
        <w:spacing w:line="360" w:lineRule="auto"/>
        <w:contextualSpacing/>
        <w:jc w:val="both"/>
        <w:rPr>
          <w:rFonts w:ascii="Arial" w:hAnsi="Arial" w:cs="Arial"/>
        </w:rPr>
      </w:pPr>
    </w:p>
    <w:p w:rsidR="000D019A" w:rsidRPr="003B1FCE" w:rsidRDefault="000D019A" w:rsidP="000D019A">
      <w:pPr>
        <w:autoSpaceDE w:val="0"/>
        <w:autoSpaceDN w:val="0"/>
        <w:adjustRightInd w:val="0"/>
        <w:spacing w:line="360" w:lineRule="auto"/>
        <w:contextualSpacing/>
        <w:jc w:val="both"/>
        <w:rPr>
          <w:rFonts w:ascii="Arial" w:hAnsi="Arial" w:cs="Arial"/>
        </w:rPr>
      </w:pPr>
      <w:r w:rsidRPr="003B1FCE">
        <w:rPr>
          <w:rFonts w:ascii="Arial" w:hAnsi="Arial" w:cs="Arial"/>
        </w:rPr>
        <w:lastRenderedPageBreak/>
        <w:t xml:space="preserve">En atención a lo anterior, los sujetos obligados pueden situarse en cuatro supuestos: </w:t>
      </w:r>
    </w:p>
    <w:p w:rsidR="000D019A" w:rsidRPr="003B1FCE" w:rsidRDefault="000D019A" w:rsidP="000D019A">
      <w:pPr>
        <w:autoSpaceDE w:val="0"/>
        <w:autoSpaceDN w:val="0"/>
        <w:adjustRightInd w:val="0"/>
        <w:spacing w:line="360" w:lineRule="auto"/>
        <w:contextualSpacing/>
        <w:jc w:val="both"/>
        <w:rPr>
          <w:rFonts w:ascii="Arial" w:hAnsi="Arial" w:cs="Arial"/>
        </w:rPr>
      </w:pPr>
    </w:p>
    <w:p w:rsidR="000D019A" w:rsidRPr="003B1FCE" w:rsidRDefault="000D019A" w:rsidP="000D019A">
      <w:pPr>
        <w:pStyle w:val="Prrafodelista"/>
        <w:numPr>
          <w:ilvl w:val="0"/>
          <w:numId w:val="16"/>
        </w:numPr>
        <w:autoSpaceDE w:val="0"/>
        <w:autoSpaceDN w:val="0"/>
        <w:adjustRightInd w:val="0"/>
        <w:spacing w:line="360" w:lineRule="auto"/>
        <w:jc w:val="both"/>
        <w:rPr>
          <w:rFonts w:ascii="Arial" w:hAnsi="Arial" w:cs="Arial"/>
          <w:sz w:val="24"/>
          <w:szCs w:val="24"/>
        </w:rPr>
      </w:pPr>
      <w:r w:rsidRPr="003B1FCE">
        <w:rPr>
          <w:rFonts w:ascii="Arial" w:hAnsi="Arial" w:cs="Arial"/>
          <w:sz w:val="24"/>
          <w:szCs w:val="24"/>
        </w:rPr>
        <w:t>Cumplimiento total de las obligaciones de transparencia, después de haber aten</w:t>
      </w:r>
      <w:r w:rsidR="00A84315" w:rsidRPr="003B1FCE">
        <w:rPr>
          <w:rFonts w:ascii="Arial" w:hAnsi="Arial" w:cs="Arial"/>
          <w:sz w:val="24"/>
          <w:szCs w:val="24"/>
        </w:rPr>
        <w:t>d</w:t>
      </w:r>
      <w:r w:rsidRPr="003B1FCE">
        <w:rPr>
          <w:rFonts w:ascii="Arial" w:hAnsi="Arial" w:cs="Arial"/>
          <w:sz w:val="24"/>
          <w:szCs w:val="24"/>
        </w:rPr>
        <w:t>id</w:t>
      </w:r>
      <w:r w:rsidR="00D71D7B">
        <w:rPr>
          <w:rFonts w:ascii="Arial" w:hAnsi="Arial" w:cs="Arial"/>
          <w:sz w:val="24"/>
          <w:szCs w:val="24"/>
        </w:rPr>
        <w:t>o</w:t>
      </w:r>
      <w:r w:rsidRPr="003B1FCE">
        <w:rPr>
          <w:rFonts w:ascii="Arial" w:hAnsi="Arial" w:cs="Arial"/>
          <w:sz w:val="24"/>
          <w:szCs w:val="24"/>
        </w:rPr>
        <w:t xml:space="preserve"> a cabalidad las recomendaciones y observaciones emitidas en la Primera Evaluación Vinculante 2019</w:t>
      </w:r>
      <w:r w:rsidR="00A84315" w:rsidRPr="003B1FCE">
        <w:rPr>
          <w:rFonts w:ascii="Arial" w:hAnsi="Arial" w:cs="Arial"/>
          <w:sz w:val="24"/>
          <w:szCs w:val="24"/>
        </w:rPr>
        <w:t>, lo cual se traduce en un puntaje de 100</w:t>
      </w:r>
      <w:r w:rsidR="003B1FCE">
        <w:rPr>
          <w:rFonts w:ascii="Arial" w:hAnsi="Arial" w:cs="Arial"/>
          <w:sz w:val="24"/>
          <w:szCs w:val="24"/>
        </w:rPr>
        <w:t xml:space="preserve"> puntos</w:t>
      </w:r>
      <w:r w:rsidR="00A84315" w:rsidRPr="003B1FCE">
        <w:rPr>
          <w:rFonts w:ascii="Arial" w:hAnsi="Arial" w:cs="Arial"/>
          <w:sz w:val="24"/>
          <w:szCs w:val="24"/>
        </w:rPr>
        <w:t>;</w:t>
      </w:r>
      <w:r w:rsidRPr="003B1FCE">
        <w:rPr>
          <w:rFonts w:ascii="Arial" w:hAnsi="Arial" w:cs="Arial"/>
          <w:sz w:val="24"/>
          <w:szCs w:val="24"/>
        </w:rPr>
        <w:t xml:space="preserve"> </w:t>
      </w:r>
    </w:p>
    <w:p w:rsidR="000D019A" w:rsidRPr="003B1FCE" w:rsidRDefault="000D019A" w:rsidP="000D019A">
      <w:pPr>
        <w:pStyle w:val="Prrafodelista"/>
        <w:numPr>
          <w:ilvl w:val="0"/>
          <w:numId w:val="16"/>
        </w:numPr>
        <w:autoSpaceDE w:val="0"/>
        <w:autoSpaceDN w:val="0"/>
        <w:adjustRightInd w:val="0"/>
        <w:spacing w:line="360" w:lineRule="auto"/>
        <w:jc w:val="both"/>
        <w:rPr>
          <w:rFonts w:ascii="Arial" w:hAnsi="Arial" w:cs="Arial"/>
          <w:sz w:val="24"/>
          <w:szCs w:val="24"/>
        </w:rPr>
      </w:pPr>
      <w:r w:rsidRPr="003B1FCE">
        <w:rPr>
          <w:rFonts w:ascii="Arial" w:hAnsi="Arial" w:cs="Arial"/>
          <w:sz w:val="24"/>
          <w:szCs w:val="24"/>
        </w:rPr>
        <w:t>Cumplimiento o Incumplimiento parcial, pero con incremento en el puntaje de su índice global de obligaciones de transparencia, como resultado de una atención parcial a las recomendaciones y observaciones emitidas</w:t>
      </w:r>
      <w:r w:rsidR="00A84315" w:rsidRPr="003B1FCE">
        <w:rPr>
          <w:rFonts w:ascii="Arial" w:hAnsi="Arial" w:cs="Arial"/>
          <w:sz w:val="24"/>
          <w:szCs w:val="24"/>
        </w:rPr>
        <w:t>;</w:t>
      </w:r>
    </w:p>
    <w:p w:rsidR="000D019A" w:rsidRPr="00D71D7B" w:rsidRDefault="000D019A" w:rsidP="000D019A">
      <w:pPr>
        <w:pStyle w:val="Prrafodelista"/>
        <w:numPr>
          <w:ilvl w:val="0"/>
          <w:numId w:val="16"/>
        </w:numPr>
        <w:autoSpaceDE w:val="0"/>
        <w:autoSpaceDN w:val="0"/>
        <w:adjustRightInd w:val="0"/>
        <w:spacing w:line="360" w:lineRule="auto"/>
        <w:jc w:val="both"/>
        <w:rPr>
          <w:rFonts w:ascii="Arial" w:hAnsi="Arial" w:cs="Arial"/>
          <w:sz w:val="24"/>
          <w:szCs w:val="24"/>
        </w:rPr>
      </w:pPr>
      <w:r w:rsidRPr="003B1FCE">
        <w:rPr>
          <w:rFonts w:ascii="Arial" w:hAnsi="Arial" w:cs="Arial"/>
          <w:sz w:val="24"/>
          <w:szCs w:val="24"/>
        </w:rPr>
        <w:t xml:space="preserve">Cumplimiento o Incumplimiento parcial, pero sin incremento en el puntaje de su índice global de obligaciones de transparencia, debido a la nula atención parcial a las </w:t>
      </w:r>
      <w:r w:rsidRPr="00D71D7B">
        <w:rPr>
          <w:rFonts w:ascii="Arial" w:hAnsi="Arial" w:cs="Arial"/>
          <w:sz w:val="24"/>
          <w:szCs w:val="24"/>
        </w:rPr>
        <w:t xml:space="preserve">recomendaciones y observaciones emitidas, y </w:t>
      </w:r>
    </w:p>
    <w:p w:rsidR="000D019A" w:rsidRPr="00D71D7B" w:rsidRDefault="000D019A" w:rsidP="00A84315">
      <w:pPr>
        <w:pStyle w:val="Prrafodelista"/>
        <w:numPr>
          <w:ilvl w:val="0"/>
          <w:numId w:val="16"/>
        </w:numPr>
        <w:autoSpaceDE w:val="0"/>
        <w:autoSpaceDN w:val="0"/>
        <w:adjustRightInd w:val="0"/>
        <w:spacing w:line="360" w:lineRule="auto"/>
        <w:jc w:val="both"/>
        <w:rPr>
          <w:rFonts w:ascii="Arial" w:hAnsi="Arial" w:cs="Arial"/>
          <w:sz w:val="24"/>
          <w:szCs w:val="24"/>
        </w:rPr>
      </w:pPr>
      <w:r w:rsidRPr="00D71D7B">
        <w:rPr>
          <w:rFonts w:ascii="Arial" w:hAnsi="Arial" w:cs="Arial"/>
          <w:sz w:val="24"/>
          <w:szCs w:val="24"/>
        </w:rPr>
        <w:t>Cumplimiento o Incumplimiento parcial, pero con un</w:t>
      </w:r>
      <w:r w:rsidR="00A84315" w:rsidRPr="00D71D7B">
        <w:rPr>
          <w:rFonts w:ascii="Arial" w:hAnsi="Arial" w:cs="Arial"/>
          <w:sz w:val="24"/>
          <w:szCs w:val="24"/>
        </w:rPr>
        <w:t>a</w:t>
      </w:r>
      <w:r w:rsidRPr="00D71D7B">
        <w:rPr>
          <w:rFonts w:ascii="Arial" w:hAnsi="Arial" w:cs="Arial"/>
          <w:sz w:val="24"/>
          <w:szCs w:val="24"/>
        </w:rPr>
        <w:t xml:space="preserve"> d</w:t>
      </w:r>
      <w:r w:rsidR="00A84315" w:rsidRPr="00D71D7B">
        <w:rPr>
          <w:rFonts w:ascii="Arial" w:hAnsi="Arial" w:cs="Arial"/>
          <w:sz w:val="24"/>
          <w:szCs w:val="24"/>
        </w:rPr>
        <w:t>isminución</w:t>
      </w:r>
      <w:r w:rsidRPr="00D71D7B">
        <w:rPr>
          <w:rFonts w:ascii="Arial" w:hAnsi="Arial" w:cs="Arial"/>
          <w:sz w:val="24"/>
          <w:szCs w:val="24"/>
        </w:rPr>
        <w:t xml:space="preserve"> en el puntaje de su índice global de obligaciones de transparencia, debido a la nula atención parcial a las recomendaciones y observaciones emitidas.</w:t>
      </w:r>
    </w:p>
    <w:p w:rsidR="000D019A" w:rsidRPr="003B1FCE" w:rsidRDefault="000D019A" w:rsidP="000D019A">
      <w:pPr>
        <w:autoSpaceDE w:val="0"/>
        <w:autoSpaceDN w:val="0"/>
        <w:adjustRightInd w:val="0"/>
        <w:spacing w:line="360" w:lineRule="auto"/>
        <w:contextualSpacing/>
        <w:jc w:val="both"/>
        <w:rPr>
          <w:rFonts w:ascii="Arial" w:hAnsi="Arial" w:cs="Arial"/>
        </w:rPr>
      </w:pPr>
      <w:r w:rsidRPr="003B1FCE">
        <w:rPr>
          <w:rFonts w:ascii="Arial" w:hAnsi="Arial" w:cs="Arial"/>
        </w:rPr>
        <w:t xml:space="preserve">Los 139 sujetos obligados que tuvieron que atender las recomendaciones y observaciones cumplieron, en promedio, </w:t>
      </w:r>
      <w:r w:rsidRPr="00EF4482">
        <w:rPr>
          <w:rFonts w:ascii="Arial" w:hAnsi="Arial" w:cs="Arial"/>
          <w:highlight w:val="yellow"/>
        </w:rPr>
        <w:t>con un 78.</w:t>
      </w:r>
      <w:r w:rsidR="00EF4482" w:rsidRPr="00EF4482">
        <w:rPr>
          <w:rFonts w:ascii="Arial" w:hAnsi="Arial" w:cs="Arial"/>
          <w:highlight w:val="yellow"/>
        </w:rPr>
        <w:t>62</w:t>
      </w:r>
      <w:r w:rsidRPr="003B1FCE">
        <w:rPr>
          <w:rFonts w:ascii="Arial" w:hAnsi="Arial" w:cs="Arial"/>
        </w:rPr>
        <w:t>% de sus obligaciones de transparencia que tiene</w:t>
      </w:r>
      <w:r w:rsidR="00A84315" w:rsidRPr="003B1FCE">
        <w:rPr>
          <w:rFonts w:ascii="Arial" w:hAnsi="Arial" w:cs="Arial"/>
        </w:rPr>
        <w:t>n</w:t>
      </w:r>
      <w:r w:rsidRPr="003B1FCE">
        <w:rPr>
          <w:rFonts w:ascii="Arial" w:hAnsi="Arial" w:cs="Arial"/>
        </w:rPr>
        <w:t xml:space="preserve"> que publicar por ley en sus portales institucionales y la Plataforma Nacional de Transparencia. </w:t>
      </w:r>
    </w:p>
    <w:p w:rsidR="000D019A" w:rsidRPr="003B1FCE" w:rsidRDefault="000D019A" w:rsidP="000D019A">
      <w:pPr>
        <w:autoSpaceDE w:val="0"/>
        <w:autoSpaceDN w:val="0"/>
        <w:adjustRightInd w:val="0"/>
        <w:spacing w:line="360" w:lineRule="auto"/>
        <w:contextualSpacing/>
        <w:jc w:val="both"/>
        <w:rPr>
          <w:rFonts w:ascii="Arial" w:hAnsi="Arial" w:cs="Arial"/>
        </w:rPr>
      </w:pPr>
    </w:p>
    <w:p w:rsidR="000D019A" w:rsidRPr="003B1FCE" w:rsidRDefault="000D019A" w:rsidP="000D019A">
      <w:pPr>
        <w:autoSpaceDE w:val="0"/>
        <w:autoSpaceDN w:val="0"/>
        <w:adjustRightInd w:val="0"/>
        <w:spacing w:line="360" w:lineRule="auto"/>
        <w:contextualSpacing/>
        <w:jc w:val="both"/>
        <w:rPr>
          <w:rFonts w:ascii="Arial" w:hAnsi="Arial" w:cs="Arial"/>
        </w:rPr>
      </w:pPr>
      <w:r w:rsidRPr="003B1FCE">
        <w:rPr>
          <w:rFonts w:ascii="Arial" w:hAnsi="Arial" w:cs="Arial"/>
        </w:rPr>
        <w:t xml:space="preserve">Los 139 sujetos obligados evaluados se integran por: 21 sujetos pertenecientes a la Administración Central, 63 al ámbito de Órganos Desconcentrados, Fondos y Fideicomisos, 16 a las </w:t>
      </w:r>
      <w:r w:rsidR="00D71D7B">
        <w:rPr>
          <w:rFonts w:ascii="Arial" w:hAnsi="Arial" w:cs="Arial"/>
        </w:rPr>
        <w:t>Demarcaciones Territoriales</w:t>
      </w:r>
      <w:r w:rsidRPr="003B1FCE">
        <w:rPr>
          <w:rFonts w:ascii="Arial" w:hAnsi="Arial" w:cs="Arial"/>
        </w:rPr>
        <w:t xml:space="preserve">, 2 sujetos obligados del Poder Legislativo y Poder Judicial, respectivamente, 6 de los Órganos Autónomos, 8 Partidos Políticos y 21 de Sindicatos. </w:t>
      </w:r>
    </w:p>
    <w:p w:rsidR="000D019A" w:rsidRPr="003B1FCE" w:rsidRDefault="000D019A">
      <w:pPr>
        <w:rPr>
          <w:rFonts w:ascii="Arial" w:eastAsiaTheme="majorEastAsia" w:hAnsi="Arial" w:cs="Arial"/>
          <w:b/>
          <w:color w:val="000000" w:themeColor="text1"/>
          <w:lang w:eastAsia="en-US"/>
        </w:rPr>
      </w:pPr>
      <w:r w:rsidRPr="003B1FCE">
        <w:rPr>
          <w:rFonts w:ascii="Arial" w:hAnsi="Arial" w:cs="Arial"/>
          <w:b/>
          <w:color w:val="000000" w:themeColor="text1"/>
        </w:rPr>
        <w:br w:type="page"/>
      </w:r>
    </w:p>
    <w:p w:rsidR="00443C3B" w:rsidRPr="003B1FCE" w:rsidRDefault="00FF7BD9" w:rsidP="00443C3B">
      <w:pPr>
        <w:pStyle w:val="Ttulo1"/>
        <w:contextualSpacing/>
        <w:rPr>
          <w:rFonts w:ascii="Arial" w:hAnsi="Arial" w:cs="Arial"/>
          <w:b/>
          <w:color w:val="000000" w:themeColor="text1"/>
          <w:sz w:val="24"/>
          <w:szCs w:val="24"/>
        </w:rPr>
      </w:pPr>
      <w:bookmarkStart w:id="2" w:name="_Toc26913245"/>
      <w:r w:rsidRPr="003B1FCE">
        <w:rPr>
          <w:rFonts w:ascii="Arial" w:hAnsi="Arial" w:cs="Arial"/>
          <w:b/>
          <w:color w:val="000000" w:themeColor="text1"/>
          <w:sz w:val="24"/>
          <w:szCs w:val="24"/>
        </w:rPr>
        <w:lastRenderedPageBreak/>
        <w:t>ANTECEDENTES</w:t>
      </w:r>
      <w:bookmarkEnd w:id="2"/>
    </w:p>
    <w:p w:rsidR="001A6622" w:rsidRPr="003B1FCE" w:rsidRDefault="001A6622" w:rsidP="00443C3B">
      <w:pPr>
        <w:contextualSpacing/>
        <w:rPr>
          <w:rFonts w:ascii="Arial" w:hAnsi="Arial" w:cs="Arial"/>
          <w:color w:val="000000" w:themeColor="text1"/>
        </w:rPr>
      </w:pPr>
    </w:p>
    <w:p w:rsidR="001A6622" w:rsidRPr="003B1FCE" w:rsidRDefault="001A6622" w:rsidP="001A6622">
      <w:pPr>
        <w:autoSpaceDE w:val="0"/>
        <w:autoSpaceDN w:val="0"/>
        <w:adjustRightInd w:val="0"/>
        <w:spacing w:line="360" w:lineRule="auto"/>
        <w:jc w:val="both"/>
        <w:rPr>
          <w:rFonts w:ascii="Arial" w:hAnsi="Arial" w:cs="Arial"/>
          <w:color w:val="000000" w:themeColor="text1"/>
        </w:rPr>
      </w:pPr>
      <w:r w:rsidRPr="003B1FCE">
        <w:rPr>
          <w:rFonts w:ascii="Arial" w:hAnsi="Arial" w:cs="Arial"/>
          <w:color w:val="000000" w:themeColor="text1"/>
        </w:rPr>
        <w:t>La Dirección de Estado Abierto, Estudios y Evaluación realizó durante el periodo enero-junio del año en curso la Primera Evaluación Vinculante 2019, sobre el ejercicio 2018, de manera</w:t>
      </w:r>
      <w:r w:rsidRPr="003B1FCE">
        <w:rPr>
          <w:rFonts w:ascii="Arial" w:hAnsi="Arial" w:cs="Arial"/>
          <w:b/>
          <w:color w:val="000000" w:themeColor="text1"/>
        </w:rPr>
        <w:t xml:space="preserve"> censal</w:t>
      </w:r>
      <w:r w:rsidRPr="003B1FCE">
        <w:rPr>
          <w:rFonts w:ascii="Arial" w:hAnsi="Arial" w:cs="Arial"/>
          <w:color w:val="000000" w:themeColor="text1"/>
        </w:rPr>
        <w:t xml:space="preserve"> respecto de los 146 sujetos obligados que conformaban el Padrón vigente. En la evaluación se verificó que la información publicada en la Plataforma Nacional de Transparencia y en los portales de internet de los sujetos obligados estuviera completa y actualizada al treinta y uno de diciembre de dos mil dieciocho. Las recomendaciones y observaciones derivadas de dicha evaluación fueron aprobadas mediante acuerdo número </w:t>
      </w:r>
      <w:hyperlink r:id="rId8" w:history="1">
        <w:r w:rsidRPr="003B1FCE">
          <w:rPr>
            <w:rFonts w:ascii="Arial" w:hAnsi="Arial" w:cs="Arial"/>
            <w:color w:val="000000" w:themeColor="text1"/>
          </w:rPr>
          <w:t>2139/SO/07-08/2019</w:t>
        </w:r>
      </w:hyperlink>
      <w:r w:rsidRPr="003B1FCE">
        <w:rPr>
          <w:rFonts w:ascii="Arial" w:hAnsi="Arial" w:cs="Arial"/>
          <w:color w:val="000000" w:themeColor="text1"/>
        </w:rPr>
        <w:t xml:space="preserve"> del Pleno del Instituto, el siete de agosto de 2019. </w:t>
      </w:r>
    </w:p>
    <w:p w:rsidR="001A6622" w:rsidRPr="003B1FCE" w:rsidRDefault="001A6622" w:rsidP="001A6622">
      <w:pPr>
        <w:autoSpaceDE w:val="0"/>
        <w:autoSpaceDN w:val="0"/>
        <w:adjustRightInd w:val="0"/>
        <w:spacing w:line="360" w:lineRule="auto"/>
        <w:jc w:val="both"/>
        <w:rPr>
          <w:rFonts w:ascii="Arial" w:hAnsi="Arial" w:cs="Arial"/>
          <w:color w:val="000000" w:themeColor="text1"/>
        </w:rPr>
      </w:pPr>
    </w:p>
    <w:p w:rsidR="001A6622" w:rsidRPr="00D71D7B" w:rsidRDefault="001A6622" w:rsidP="001A6622">
      <w:pPr>
        <w:autoSpaceDE w:val="0"/>
        <w:autoSpaceDN w:val="0"/>
        <w:adjustRightInd w:val="0"/>
        <w:spacing w:line="360" w:lineRule="auto"/>
        <w:jc w:val="both"/>
        <w:rPr>
          <w:rFonts w:ascii="Arial" w:hAnsi="Arial" w:cs="Arial"/>
          <w:color w:val="000000" w:themeColor="text1"/>
        </w:rPr>
      </w:pPr>
      <w:r w:rsidRPr="003B1FCE">
        <w:rPr>
          <w:rFonts w:ascii="Arial" w:hAnsi="Arial" w:cs="Arial"/>
          <w:color w:val="000000" w:themeColor="text1"/>
        </w:rPr>
        <w:t xml:space="preserve">Derivado de la Primera Evaluación Vinculante 2019, sobre el ejercicio 2018, se concluyó que </w:t>
      </w:r>
      <w:r w:rsidRPr="00D71D7B">
        <w:rPr>
          <w:rFonts w:ascii="Arial" w:hAnsi="Arial" w:cs="Arial"/>
          <w:b/>
          <w:color w:val="000000" w:themeColor="text1"/>
        </w:rPr>
        <w:t>siete</w:t>
      </w:r>
      <w:r w:rsidRPr="00D71D7B">
        <w:rPr>
          <w:rFonts w:ascii="Arial" w:hAnsi="Arial" w:cs="Arial"/>
          <w:color w:val="000000" w:themeColor="text1"/>
        </w:rPr>
        <w:t xml:space="preserve"> sujetos obligados alcanzaron un IGOT de 100 (cien) puntos. Los sujetos obligados son los siguientes:</w:t>
      </w:r>
    </w:p>
    <w:p w:rsidR="001A6622" w:rsidRPr="00D71D7B" w:rsidRDefault="001A6622" w:rsidP="001A6622">
      <w:pPr>
        <w:pStyle w:val="Prrafodelista"/>
        <w:numPr>
          <w:ilvl w:val="0"/>
          <w:numId w:val="9"/>
        </w:numPr>
        <w:autoSpaceDE w:val="0"/>
        <w:autoSpaceDN w:val="0"/>
        <w:adjustRightInd w:val="0"/>
        <w:spacing w:after="0" w:line="360" w:lineRule="auto"/>
        <w:contextualSpacing w:val="0"/>
        <w:jc w:val="both"/>
        <w:rPr>
          <w:rFonts w:ascii="Arial" w:hAnsi="Arial" w:cs="Arial"/>
          <w:color w:val="000000" w:themeColor="text1"/>
          <w:sz w:val="24"/>
          <w:szCs w:val="24"/>
        </w:rPr>
      </w:pPr>
      <w:r w:rsidRPr="00D71D7B">
        <w:rPr>
          <w:rFonts w:ascii="Arial" w:hAnsi="Arial" w:cs="Arial"/>
          <w:color w:val="000000" w:themeColor="text1"/>
          <w:sz w:val="24"/>
          <w:szCs w:val="24"/>
        </w:rPr>
        <w:t>Secretaría de Desarrollo Social</w:t>
      </w:r>
    </w:p>
    <w:p w:rsidR="001A6622" w:rsidRPr="00D71D7B" w:rsidRDefault="001A6622" w:rsidP="001A6622">
      <w:pPr>
        <w:pStyle w:val="Prrafodelista"/>
        <w:numPr>
          <w:ilvl w:val="0"/>
          <w:numId w:val="9"/>
        </w:numPr>
        <w:autoSpaceDE w:val="0"/>
        <w:autoSpaceDN w:val="0"/>
        <w:adjustRightInd w:val="0"/>
        <w:spacing w:after="0" w:line="360" w:lineRule="auto"/>
        <w:contextualSpacing w:val="0"/>
        <w:jc w:val="both"/>
        <w:rPr>
          <w:rFonts w:ascii="Arial" w:hAnsi="Arial" w:cs="Arial"/>
          <w:color w:val="000000" w:themeColor="text1"/>
          <w:sz w:val="24"/>
          <w:szCs w:val="24"/>
        </w:rPr>
      </w:pPr>
      <w:r w:rsidRPr="00D71D7B">
        <w:rPr>
          <w:rFonts w:ascii="Arial" w:hAnsi="Arial" w:cs="Arial"/>
          <w:color w:val="000000" w:themeColor="text1"/>
          <w:sz w:val="24"/>
          <w:szCs w:val="24"/>
        </w:rPr>
        <w:t>Secretaría de Finanzas</w:t>
      </w:r>
    </w:p>
    <w:p w:rsidR="001A6622" w:rsidRPr="00D71D7B" w:rsidRDefault="001A6622" w:rsidP="001A6622">
      <w:pPr>
        <w:pStyle w:val="Prrafodelista"/>
        <w:numPr>
          <w:ilvl w:val="0"/>
          <w:numId w:val="9"/>
        </w:numPr>
        <w:autoSpaceDE w:val="0"/>
        <w:autoSpaceDN w:val="0"/>
        <w:adjustRightInd w:val="0"/>
        <w:spacing w:after="0" w:line="360" w:lineRule="auto"/>
        <w:contextualSpacing w:val="0"/>
        <w:jc w:val="both"/>
        <w:rPr>
          <w:rFonts w:ascii="Arial" w:hAnsi="Arial" w:cs="Arial"/>
          <w:color w:val="000000" w:themeColor="text1"/>
          <w:sz w:val="24"/>
          <w:szCs w:val="24"/>
        </w:rPr>
      </w:pPr>
      <w:r w:rsidRPr="00D71D7B">
        <w:rPr>
          <w:rFonts w:ascii="Arial" w:hAnsi="Arial" w:cs="Arial"/>
          <w:color w:val="000000" w:themeColor="text1"/>
          <w:sz w:val="24"/>
          <w:szCs w:val="24"/>
        </w:rPr>
        <w:t>Centro de Comando, Control, Cómputo, Comunicaciones y Contacto Ciudadano de la Ciudad de México "C5"</w:t>
      </w:r>
    </w:p>
    <w:p w:rsidR="001A6622" w:rsidRPr="00D71D7B" w:rsidRDefault="001A6622" w:rsidP="001A6622">
      <w:pPr>
        <w:pStyle w:val="Prrafodelista"/>
        <w:numPr>
          <w:ilvl w:val="0"/>
          <w:numId w:val="9"/>
        </w:numPr>
        <w:autoSpaceDE w:val="0"/>
        <w:autoSpaceDN w:val="0"/>
        <w:adjustRightInd w:val="0"/>
        <w:spacing w:after="0" w:line="360" w:lineRule="auto"/>
        <w:contextualSpacing w:val="0"/>
        <w:jc w:val="both"/>
        <w:rPr>
          <w:rFonts w:ascii="Arial" w:hAnsi="Arial" w:cs="Arial"/>
          <w:color w:val="000000" w:themeColor="text1"/>
          <w:sz w:val="24"/>
          <w:szCs w:val="24"/>
        </w:rPr>
      </w:pPr>
      <w:proofErr w:type="spellStart"/>
      <w:r w:rsidRPr="00D71D7B">
        <w:rPr>
          <w:rFonts w:ascii="Arial" w:hAnsi="Arial" w:cs="Arial"/>
          <w:color w:val="000000" w:themeColor="text1"/>
          <w:sz w:val="24"/>
          <w:szCs w:val="24"/>
        </w:rPr>
        <w:t>Metrobús</w:t>
      </w:r>
      <w:proofErr w:type="spellEnd"/>
    </w:p>
    <w:p w:rsidR="001A6622" w:rsidRPr="00D71D7B" w:rsidRDefault="001A6622" w:rsidP="001A6622">
      <w:pPr>
        <w:pStyle w:val="Prrafodelista"/>
        <w:numPr>
          <w:ilvl w:val="0"/>
          <w:numId w:val="9"/>
        </w:numPr>
        <w:autoSpaceDE w:val="0"/>
        <w:autoSpaceDN w:val="0"/>
        <w:adjustRightInd w:val="0"/>
        <w:spacing w:after="0" w:line="360" w:lineRule="auto"/>
        <w:contextualSpacing w:val="0"/>
        <w:jc w:val="both"/>
        <w:rPr>
          <w:rFonts w:ascii="Arial" w:hAnsi="Arial" w:cs="Arial"/>
          <w:color w:val="000000" w:themeColor="text1"/>
          <w:sz w:val="24"/>
          <w:szCs w:val="24"/>
        </w:rPr>
      </w:pPr>
      <w:r w:rsidRPr="00D71D7B">
        <w:rPr>
          <w:rFonts w:ascii="Arial" w:hAnsi="Arial" w:cs="Arial"/>
          <w:color w:val="000000" w:themeColor="text1"/>
          <w:sz w:val="24"/>
          <w:szCs w:val="24"/>
        </w:rPr>
        <w:t>Tribunal de Justicia Administrativa</w:t>
      </w:r>
      <w:r w:rsidRPr="00D71D7B">
        <w:rPr>
          <w:rFonts w:ascii="Arial" w:eastAsia="Symbol" w:hAnsi="Arial" w:cs="Arial"/>
          <w:color w:val="000000" w:themeColor="text1"/>
          <w:sz w:val="24"/>
          <w:szCs w:val="24"/>
          <w:lang w:eastAsia="es-MX"/>
        </w:rPr>
        <w:t xml:space="preserve"> de la Ciudad de México</w:t>
      </w:r>
    </w:p>
    <w:p w:rsidR="001A6622" w:rsidRPr="00D71D7B" w:rsidRDefault="001A6622" w:rsidP="001A6622">
      <w:pPr>
        <w:pStyle w:val="Prrafodelista"/>
        <w:numPr>
          <w:ilvl w:val="0"/>
          <w:numId w:val="9"/>
        </w:numPr>
        <w:autoSpaceDE w:val="0"/>
        <w:autoSpaceDN w:val="0"/>
        <w:adjustRightInd w:val="0"/>
        <w:spacing w:after="0" w:line="360" w:lineRule="auto"/>
        <w:contextualSpacing w:val="0"/>
        <w:jc w:val="both"/>
        <w:rPr>
          <w:rFonts w:ascii="Arial" w:hAnsi="Arial" w:cs="Arial"/>
          <w:color w:val="000000" w:themeColor="text1"/>
          <w:sz w:val="24"/>
          <w:szCs w:val="24"/>
        </w:rPr>
      </w:pPr>
      <w:r w:rsidRPr="00D71D7B">
        <w:rPr>
          <w:rFonts w:ascii="Arial" w:hAnsi="Arial" w:cs="Arial"/>
          <w:color w:val="000000" w:themeColor="text1"/>
          <w:sz w:val="24"/>
          <w:szCs w:val="24"/>
        </w:rPr>
        <w:t>Movimiento Ciudadano</w:t>
      </w:r>
    </w:p>
    <w:p w:rsidR="001A6622" w:rsidRPr="00D71D7B" w:rsidRDefault="001A6622" w:rsidP="001A6622">
      <w:pPr>
        <w:pStyle w:val="Prrafodelista"/>
        <w:numPr>
          <w:ilvl w:val="0"/>
          <w:numId w:val="9"/>
        </w:numPr>
        <w:autoSpaceDE w:val="0"/>
        <w:autoSpaceDN w:val="0"/>
        <w:adjustRightInd w:val="0"/>
        <w:spacing w:after="0" w:line="360" w:lineRule="auto"/>
        <w:contextualSpacing w:val="0"/>
        <w:jc w:val="both"/>
        <w:rPr>
          <w:rFonts w:ascii="Arial" w:hAnsi="Arial" w:cs="Arial"/>
          <w:color w:val="000000" w:themeColor="text1"/>
          <w:sz w:val="24"/>
          <w:szCs w:val="24"/>
        </w:rPr>
      </w:pPr>
      <w:r w:rsidRPr="00D71D7B">
        <w:rPr>
          <w:rFonts w:ascii="Arial" w:hAnsi="Arial" w:cs="Arial"/>
          <w:color w:val="000000" w:themeColor="text1"/>
          <w:sz w:val="24"/>
          <w:szCs w:val="24"/>
        </w:rPr>
        <w:t>Partido Revolucionario Institucional</w:t>
      </w:r>
    </w:p>
    <w:p w:rsidR="001A6622" w:rsidRPr="003B1FCE" w:rsidRDefault="001A6622" w:rsidP="001A6622">
      <w:pPr>
        <w:autoSpaceDE w:val="0"/>
        <w:autoSpaceDN w:val="0"/>
        <w:adjustRightInd w:val="0"/>
        <w:spacing w:line="360" w:lineRule="auto"/>
        <w:jc w:val="both"/>
        <w:rPr>
          <w:rFonts w:ascii="Arial" w:hAnsi="Arial" w:cs="Arial"/>
          <w:color w:val="000000" w:themeColor="text1"/>
        </w:rPr>
      </w:pPr>
    </w:p>
    <w:p w:rsidR="001A6622" w:rsidRPr="003B1FCE" w:rsidRDefault="001A6622" w:rsidP="001A6622">
      <w:pPr>
        <w:autoSpaceDE w:val="0"/>
        <w:autoSpaceDN w:val="0"/>
        <w:adjustRightInd w:val="0"/>
        <w:spacing w:line="360" w:lineRule="auto"/>
        <w:jc w:val="both"/>
        <w:rPr>
          <w:rFonts w:ascii="Arial" w:hAnsi="Arial" w:cs="Arial"/>
          <w:color w:val="000000" w:themeColor="text1"/>
        </w:rPr>
      </w:pPr>
      <w:r w:rsidRPr="003B1FCE">
        <w:rPr>
          <w:rFonts w:ascii="Arial" w:hAnsi="Arial" w:cs="Arial"/>
          <w:color w:val="000000" w:themeColor="text1"/>
        </w:rPr>
        <w:t>Derivado de la Primera Evaluación Vinculante 2019, sobre el ejercicio 2018,</w:t>
      </w:r>
      <w:r w:rsidRPr="003B1FCE">
        <w:rPr>
          <w:rFonts w:ascii="Arial" w:hAnsi="Arial" w:cs="Arial"/>
          <w:b/>
          <w:bCs/>
          <w:color w:val="000000" w:themeColor="text1"/>
        </w:rPr>
        <w:t xml:space="preserve"> 139</w:t>
      </w:r>
      <w:r w:rsidRPr="003B1FCE">
        <w:rPr>
          <w:rFonts w:ascii="Arial" w:hAnsi="Arial" w:cs="Arial"/>
          <w:color w:val="000000" w:themeColor="text1"/>
        </w:rPr>
        <w:t xml:space="preserve"> sujetos obligados obtuvieron un incumplimiento de sus obligaciones de transparencia, 92 sujetos tuvieron entre 60 y 90 puntos y 47 alcanzaron entre uno y 59 puntos. </w:t>
      </w:r>
    </w:p>
    <w:p w:rsidR="001A6622" w:rsidRPr="003B1FCE" w:rsidRDefault="001A6622" w:rsidP="001A6622">
      <w:pPr>
        <w:autoSpaceDE w:val="0"/>
        <w:autoSpaceDN w:val="0"/>
        <w:adjustRightInd w:val="0"/>
        <w:spacing w:line="360" w:lineRule="auto"/>
        <w:jc w:val="both"/>
        <w:rPr>
          <w:rFonts w:ascii="Arial" w:hAnsi="Arial" w:cs="Arial"/>
          <w:color w:val="000000" w:themeColor="text1"/>
        </w:rPr>
      </w:pPr>
    </w:p>
    <w:p w:rsidR="001A6622" w:rsidRPr="003B1FCE" w:rsidRDefault="001A6622" w:rsidP="001A6622">
      <w:pPr>
        <w:autoSpaceDE w:val="0"/>
        <w:autoSpaceDN w:val="0"/>
        <w:adjustRightInd w:val="0"/>
        <w:spacing w:line="360" w:lineRule="auto"/>
        <w:jc w:val="both"/>
        <w:rPr>
          <w:rFonts w:ascii="Arial" w:hAnsi="Arial" w:cs="Arial"/>
          <w:color w:val="000000" w:themeColor="text1"/>
        </w:rPr>
      </w:pPr>
      <w:r w:rsidRPr="003B1FCE">
        <w:rPr>
          <w:rFonts w:ascii="Arial" w:hAnsi="Arial" w:cs="Arial"/>
          <w:color w:val="000000" w:themeColor="text1"/>
        </w:rPr>
        <w:lastRenderedPageBreak/>
        <w:t xml:space="preserve">De conformidad con el numeral cuarto del Acuerdo </w:t>
      </w:r>
      <w:r w:rsidRPr="003B1FCE">
        <w:rPr>
          <w:rStyle w:val="normaltextrun"/>
          <w:rFonts w:ascii="Arial" w:eastAsiaTheme="majorEastAsia" w:hAnsi="Arial" w:cs="Arial"/>
          <w:b/>
          <w:bCs/>
          <w:color w:val="000000" w:themeColor="text1"/>
          <w:shd w:val="clear" w:color="auto" w:fill="FFFFFF"/>
        </w:rPr>
        <w:t>2139/SO/07-08/2019 de la Primera Evaluación Vinculante 2019,</w:t>
      </w:r>
      <w:r w:rsidRPr="003B1FCE">
        <w:rPr>
          <w:rStyle w:val="normaltextrun"/>
          <w:rFonts w:ascii="Arial" w:eastAsiaTheme="majorEastAsia" w:hAnsi="Arial" w:cs="Arial"/>
          <w:color w:val="000000" w:themeColor="text1"/>
          <w:shd w:val="clear" w:color="auto" w:fill="FFFFFF"/>
        </w:rPr>
        <w:t xml:space="preserve"> los ciento treinta y nueve sujetos obligados debieron atender las recomendaciones aprobadas por el Pleno del Instituto, en un plazo no mayor a quince días hábiles, contados a partir del día siguiente de su notificación; mismo que concluyó el dos de septiembre de 2019. </w:t>
      </w:r>
    </w:p>
    <w:p w:rsidR="001A6622" w:rsidRPr="003B1FCE" w:rsidRDefault="001A6622" w:rsidP="001A6622">
      <w:pPr>
        <w:autoSpaceDE w:val="0"/>
        <w:autoSpaceDN w:val="0"/>
        <w:adjustRightInd w:val="0"/>
        <w:spacing w:line="360" w:lineRule="auto"/>
        <w:jc w:val="both"/>
        <w:rPr>
          <w:rFonts w:ascii="Arial" w:hAnsi="Arial" w:cs="Arial"/>
          <w:color w:val="000000" w:themeColor="text1"/>
        </w:rPr>
      </w:pPr>
    </w:p>
    <w:p w:rsidR="001A6622" w:rsidRPr="003B1FCE" w:rsidRDefault="001A6622" w:rsidP="001A6622">
      <w:pPr>
        <w:autoSpaceDE w:val="0"/>
        <w:autoSpaceDN w:val="0"/>
        <w:adjustRightInd w:val="0"/>
        <w:spacing w:line="360" w:lineRule="auto"/>
        <w:jc w:val="both"/>
        <w:rPr>
          <w:rFonts w:ascii="Arial" w:hAnsi="Arial" w:cs="Arial"/>
          <w:color w:val="000000" w:themeColor="text1"/>
        </w:rPr>
      </w:pPr>
      <w:r w:rsidRPr="003B1FCE">
        <w:rPr>
          <w:rFonts w:ascii="Arial" w:hAnsi="Arial" w:cs="Arial"/>
          <w:color w:val="000000" w:themeColor="text1"/>
        </w:rPr>
        <w:t xml:space="preserve">Por tal razón, en uso de las atribuciones conferidas en las fracciones XI y XII del artículo 22 del Reglamento Interior, la Dirección de Estado Abierto, Estudios y Evaluación, realizó en el periodo septiembre-noviembre del año en curso la Tercera Evaluación Vinculante 2019, respecto de las recomendaciones y observaciones emitidas a los </w:t>
      </w:r>
      <w:r w:rsidRPr="003B1FCE">
        <w:rPr>
          <w:rFonts w:ascii="Arial" w:hAnsi="Arial" w:cs="Arial"/>
          <w:b/>
          <w:bCs/>
          <w:color w:val="000000" w:themeColor="text1"/>
        </w:rPr>
        <w:t>139</w:t>
      </w:r>
      <w:r w:rsidRPr="003B1FCE">
        <w:rPr>
          <w:rFonts w:ascii="Arial" w:hAnsi="Arial" w:cs="Arial"/>
          <w:color w:val="000000" w:themeColor="text1"/>
        </w:rPr>
        <w:t xml:space="preserve"> sujetos obligados en la Primera Evaluación Vinculante 2019</w:t>
      </w:r>
      <w:r w:rsidRPr="003B1FCE">
        <w:rPr>
          <w:rStyle w:val="Refdenotaalpie"/>
          <w:rFonts w:ascii="Arial" w:hAnsi="Arial" w:cs="Arial"/>
          <w:color w:val="000000" w:themeColor="text1"/>
        </w:rPr>
        <w:footnoteReference w:id="2"/>
      </w:r>
      <w:r w:rsidRPr="003B1FCE">
        <w:rPr>
          <w:rFonts w:ascii="Arial" w:hAnsi="Arial" w:cs="Arial"/>
          <w:color w:val="000000" w:themeColor="text1"/>
        </w:rPr>
        <w:t>.</w:t>
      </w:r>
    </w:p>
    <w:p w:rsidR="001A6622" w:rsidRPr="003B1FCE" w:rsidRDefault="001A6622" w:rsidP="001A6622">
      <w:pPr>
        <w:autoSpaceDE w:val="0"/>
        <w:autoSpaceDN w:val="0"/>
        <w:adjustRightInd w:val="0"/>
        <w:spacing w:line="360" w:lineRule="auto"/>
        <w:jc w:val="both"/>
        <w:rPr>
          <w:rFonts w:ascii="Arial" w:hAnsi="Arial" w:cs="Arial"/>
          <w:color w:val="000000" w:themeColor="text1"/>
        </w:rPr>
      </w:pPr>
    </w:p>
    <w:p w:rsidR="001A6622" w:rsidRPr="003B1FCE" w:rsidRDefault="001A6622" w:rsidP="001A6622">
      <w:pPr>
        <w:autoSpaceDE w:val="0"/>
        <w:autoSpaceDN w:val="0"/>
        <w:adjustRightInd w:val="0"/>
        <w:spacing w:line="360" w:lineRule="auto"/>
        <w:jc w:val="both"/>
        <w:rPr>
          <w:rFonts w:ascii="Arial" w:hAnsi="Arial" w:cs="Arial"/>
          <w:color w:val="000000" w:themeColor="text1"/>
        </w:rPr>
      </w:pPr>
      <w:r w:rsidRPr="003B1FCE">
        <w:rPr>
          <w:rFonts w:ascii="Arial" w:hAnsi="Arial" w:cs="Arial"/>
          <w:color w:val="000000" w:themeColor="text1"/>
        </w:rPr>
        <w:t xml:space="preserve">El conjunto de los sujetos obligados sobre el cual se verificó el cumplimiento de las recomendaciones, respecto de las obligaciones de transparencia, incluye 21 dependencias de la Administración Pública Central, 63 Órganos Desconcentrados o Paraestatales, 16 Demarcaciones </w:t>
      </w:r>
      <w:r w:rsidR="00D71D7B">
        <w:rPr>
          <w:rFonts w:ascii="Arial" w:hAnsi="Arial" w:cs="Arial"/>
          <w:color w:val="000000" w:themeColor="text1"/>
        </w:rPr>
        <w:t>Territoriales</w:t>
      </w:r>
      <w:r w:rsidRPr="003B1FCE">
        <w:rPr>
          <w:rFonts w:ascii="Arial" w:hAnsi="Arial" w:cs="Arial"/>
          <w:color w:val="000000" w:themeColor="text1"/>
        </w:rPr>
        <w:t xml:space="preserve">, dos </w:t>
      </w:r>
      <w:r w:rsidR="00A84315" w:rsidRPr="003B1FCE">
        <w:rPr>
          <w:rFonts w:ascii="Arial" w:hAnsi="Arial" w:cs="Arial"/>
          <w:color w:val="000000" w:themeColor="text1"/>
        </w:rPr>
        <w:t>Órganos</w:t>
      </w:r>
      <w:r w:rsidRPr="003B1FCE">
        <w:rPr>
          <w:rFonts w:ascii="Arial" w:hAnsi="Arial" w:cs="Arial"/>
          <w:color w:val="000000" w:themeColor="text1"/>
        </w:rPr>
        <w:t xml:space="preserve"> del Poder Legislativo, dos Órganos del Poder Judicial, ocho Órganos Autónomos y 21 Sindicatos.</w:t>
      </w:r>
    </w:p>
    <w:p w:rsidR="001A6622" w:rsidRPr="003B1FCE" w:rsidRDefault="001A6622" w:rsidP="001A6622">
      <w:pPr>
        <w:autoSpaceDE w:val="0"/>
        <w:autoSpaceDN w:val="0"/>
        <w:adjustRightInd w:val="0"/>
        <w:spacing w:line="360" w:lineRule="auto"/>
        <w:jc w:val="both"/>
        <w:rPr>
          <w:rFonts w:ascii="Arial" w:hAnsi="Arial" w:cs="Arial"/>
          <w:color w:val="000000" w:themeColor="text1"/>
        </w:rPr>
      </w:pPr>
    </w:p>
    <w:p w:rsidR="001A6622" w:rsidRPr="003B1FCE" w:rsidRDefault="001A6622" w:rsidP="001A6622">
      <w:pPr>
        <w:autoSpaceDE w:val="0"/>
        <w:autoSpaceDN w:val="0"/>
        <w:adjustRightInd w:val="0"/>
        <w:spacing w:line="360" w:lineRule="auto"/>
        <w:jc w:val="both"/>
        <w:rPr>
          <w:rFonts w:ascii="Arial" w:hAnsi="Arial" w:cs="Arial"/>
          <w:color w:val="000000" w:themeColor="text1"/>
        </w:rPr>
      </w:pPr>
      <w:r w:rsidRPr="003B1FCE">
        <w:rPr>
          <w:rFonts w:ascii="Arial" w:hAnsi="Arial" w:cs="Arial"/>
          <w:color w:val="000000" w:themeColor="text1"/>
        </w:rPr>
        <w:t xml:space="preserve">En la Tercera Evaluación Vinculante 2019 se verificó el cumplimiento de las recomendaciones y observaciones emitidas en la Primera Evaluación Vinculante 2019, con el fin de que la información publicada en la Plataforma Nacional de Transparencia y en los portales de Internet de los sujetos obligados estuviera completa y actualizada al cuarto trimestre del ejercicio dos mil dieciocho, así como que se conservara en ambas plataformas la información correspondiente a los </w:t>
      </w:r>
      <w:r w:rsidRPr="003B1FCE">
        <w:rPr>
          <w:rFonts w:ascii="Arial" w:hAnsi="Arial" w:cs="Arial"/>
          <w:color w:val="000000" w:themeColor="text1"/>
        </w:rPr>
        <w:lastRenderedPageBreak/>
        <w:t>ejercicios anteriores, de conformidad con la tabla de actualización y conservación de la información incluida en los Lineamientos de Evaluación.</w:t>
      </w:r>
    </w:p>
    <w:p w:rsidR="001A6622" w:rsidRPr="003B1FCE" w:rsidRDefault="001A6622" w:rsidP="001A6622">
      <w:pPr>
        <w:autoSpaceDE w:val="0"/>
        <w:autoSpaceDN w:val="0"/>
        <w:adjustRightInd w:val="0"/>
        <w:spacing w:line="360" w:lineRule="auto"/>
        <w:jc w:val="both"/>
        <w:rPr>
          <w:rFonts w:ascii="Arial" w:hAnsi="Arial" w:cs="Arial"/>
          <w:color w:val="000000" w:themeColor="text1"/>
        </w:rPr>
      </w:pPr>
    </w:p>
    <w:p w:rsidR="001A6622" w:rsidRPr="003B1FCE" w:rsidRDefault="001A6622" w:rsidP="001A6622">
      <w:pPr>
        <w:autoSpaceDE w:val="0"/>
        <w:autoSpaceDN w:val="0"/>
        <w:adjustRightInd w:val="0"/>
        <w:spacing w:line="360" w:lineRule="auto"/>
        <w:jc w:val="both"/>
        <w:rPr>
          <w:rFonts w:ascii="Arial" w:hAnsi="Arial" w:cs="Arial"/>
          <w:color w:val="000000" w:themeColor="text1"/>
        </w:rPr>
      </w:pPr>
      <w:r w:rsidRPr="003B1FCE">
        <w:rPr>
          <w:rFonts w:ascii="Arial" w:hAnsi="Arial" w:cs="Arial"/>
          <w:color w:val="000000" w:themeColor="text1"/>
        </w:rPr>
        <w:t xml:space="preserve">Como producto de esta Tercera Evaluación Vinculante 2019 y en atención a lo dispuesto por el artículo 154, fracción II, de la Ley de Transparencia, la Dirección proyectó, para su consideración por el Pleno del Instituto, un dictamen que contiene los resultados de la evaluación de las recomendaciones y observaciones del cumplimiento de las obligaciones de transparencia comunes, específicas y las disposiciones particulares previstas por la mencionada Ley, por sujeto obligado. </w:t>
      </w:r>
    </w:p>
    <w:p w:rsidR="001A6622" w:rsidRPr="003B1FCE" w:rsidRDefault="001A6622" w:rsidP="001A6622">
      <w:pPr>
        <w:autoSpaceDE w:val="0"/>
        <w:autoSpaceDN w:val="0"/>
        <w:adjustRightInd w:val="0"/>
        <w:spacing w:line="360" w:lineRule="auto"/>
        <w:jc w:val="both"/>
        <w:rPr>
          <w:rFonts w:ascii="Arial" w:hAnsi="Arial" w:cs="Arial"/>
          <w:color w:val="000000" w:themeColor="text1"/>
        </w:rPr>
      </w:pPr>
    </w:p>
    <w:p w:rsidR="001A6622" w:rsidRPr="003B1FCE" w:rsidRDefault="001A6622" w:rsidP="001A6622">
      <w:pPr>
        <w:autoSpaceDE w:val="0"/>
        <w:autoSpaceDN w:val="0"/>
        <w:adjustRightInd w:val="0"/>
        <w:spacing w:line="360" w:lineRule="auto"/>
        <w:jc w:val="both"/>
        <w:rPr>
          <w:rFonts w:ascii="Arial" w:hAnsi="Arial" w:cs="Arial"/>
          <w:color w:val="000000" w:themeColor="text1"/>
        </w:rPr>
      </w:pPr>
      <w:r w:rsidRPr="003B1FCE">
        <w:rPr>
          <w:rFonts w:ascii="Arial" w:hAnsi="Arial" w:cs="Arial"/>
          <w:color w:val="000000" w:themeColor="text1"/>
        </w:rPr>
        <w:t xml:space="preserve">El dictamen, en función de los resultados obtenidos en la evaluación correspondiente por cada sujeto obligado, indica, para los mismos, un conjunto de nuevas recomendaciones vinculantes y observaciones relativas al nivel de cumplimiento en la publicación y actualización de las obligaciones mínimas de transparencia previstas en la Ley local de la materia; las recomendaciones vinculantes atañen a fallos en la publicación o actualización de la información correspondiente, los cuales deben ser corregidos; las observaciones, en cambio, se refieren a áreas de oportunidad detectadas y no son obligatorias para los sujetos obligados. </w:t>
      </w:r>
    </w:p>
    <w:p w:rsidR="001A6622" w:rsidRPr="003B1FCE" w:rsidRDefault="001A6622" w:rsidP="001A6622">
      <w:pPr>
        <w:autoSpaceDE w:val="0"/>
        <w:autoSpaceDN w:val="0"/>
        <w:adjustRightInd w:val="0"/>
        <w:spacing w:line="360" w:lineRule="auto"/>
        <w:jc w:val="both"/>
        <w:rPr>
          <w:rFonts w:ascii="Arial" w:hAnsi="Arial" w:cs="Arial"/>
          <w:color w:val="000000" w:themeColor="text1"/>
        </w:rPr>
      </w:pPr>
    </w:p>
    <w:p w:rsidR="001A6622" w:rsidRPr="003B1FCE" w:rsidRDefault="001A6622">
      <w:pPr>
        <w:rPr>
          <w:rFonts w:ascii="Arial" w:eastAsiaTheme="majorEastAsia" w:hAnsi="Arial" w:cs="Arial"/>
          <w:b/>
          <w:color w:val="000000" w:themeColor="text1"/>
          <w:lang w:eastAsia="en-US"/>
        </w:rPr>
      </w:pPr>
      <w:r w:rsidRPr="003B1FCE">
        <w:rPr>
          <w:rFonts w:ascii="Arial" w:hAnsi="Arial" w:cs="Arial"/>
          <w:b/>
          <w:color w:val="000000" w:themeColor="text1"/>
        </w:rPr>
        <w:br w:type="page"/>
      </w:r>
    </w:p>
    <w:p w:rsidR="001A6622" w:rsidRPr="003B1FCE" w:rsidRDefault="001A6622" w:rsidP="001A6622">
      <w:pPr>
        <w:pStyle w:val="Ttulo1"/>
        <w:contextualSpacing/>
        <w:rPr>
          <w:rFonts w:ascii="Arial" w:hAnsi="Arial" w:cs="Arial"/>
          <w:b/>
          <w:color w:val="000000" w:themeColor="text1"/>
          <w:sz w:val="24"/>
          <w:szCs w:val="24"/>
        </w:rPr>
      </w:pPr>
      <w:bookmarkStart w:id="3" w:name="_Toc26913246"/>
      <w:r w:rsidRPr="003B1FCE">
        <w:rPr>
          <w:rFonts w:ascii="Arial" w:hAnsi="Arial" w:cs="Arial"/>
          <w:b/>
          <w:color w:val="000000" w:themeColor="text1"/>
          <w:sz w:val="24"/>
          <w:szCs w:val="24"/>
        </w:rPr>
        <w:lastRenderedPageBreak/>
        <w:t>METODOLOGÍA</w:t>
      </w:r>
      <w:bookmarkEnd w:id="3"/>
      <w:r w:rsidRPr="003B1FCE">
        <w:rPr>
          <w:rFonts w:ascii="Arial" w:hAnsi="Arial" w:cs="Arial"/>
          <w:b/>
          <w:color w:val="000000" w:themeColor="text1"/>
          <w:sz w:val="24"/>
          <w:szCs w:val="24"/>
        </w:rPr>
        <w:t xml:space="preserve"> </w:t>
      </w:r>
    </w:p>
    <w:p w:rsidR="001A6622" w:rsidRPr="003B1FCE" w:rsidRDefault="001A6622" w:rsidP="001A6622">
      <w:pPr>
        <w:autoSpaceDE w:val="0"/>
        <w:autoSpaceDN w:val="0"/>
        <w:adjustRightInd w:val="0"/>
        <w:spacing w:line="360" w:lineRule="auto"/>
        <w:jc w:val="both"/>
        <w:rPr>
          <w:rFonts w:ascii="Arial" w:hAnsi="Arial" w:cs="Arial"/>
          <w:color w:val="000000" w:themeColor="text1"/>
        </w:rPr>
      </w:pPr>
    </w:p>
    <w:p w:rsidR="001A6622" w:rsidRPr="003B1FCE" w:rsidRDefault="001A6622" w:rsidP="001A6622">
      <w:pPr>
        <w:autoSpaceDE w:val="0"/>
        <w:autoSpaceDN w:val="0"/>
        <w:adjustRightInd w:val="0"/>
        <w:spacing w:line="360" w:lineRule="auto"/>
        <w:jc w:val="both"/>
        <w:rPr>
          <w:rFonts w:ascii="Arial" w:hAnsi="Arial" w:cs="Arial"/>
          <w:color w:val="000000" w:themeColor="text1"/>
        </w:rPr>
      </w:pPr>
      <w:r w:rsidRPr="003B1FCE">
        <w:rPr>
          <w:rFonts w:ascii="Arial" w:hAnsi="Arial" w:cs="Arial"/>
          <w:color w:val="000000" w:themeColor="text1"/>
        </w:rPr>
        <w:t xml:space="preserve">A partir de los resultados de la evaluación, se generó el Índice General de Cumplimiento de Obligaciones de Transparencia (IGOT) de los sujetos obligados, el cual contiene el resultado numérico de la evaluación correspondiente. Dicho índice se construye con la sumatoria del Índice de Cumplimiento de Obligaciones de Transparencia del Portal de Internet (ICOT-PI) y el de la Plataforma Nacional de Transparencia (ICOT-PNT). En específico, tanto el ICOT-PI como el ICOT-PNT se integran con los resultados de la evaluación del cumplimiento de las obligaciones comunes referidas en los artículos 121 y 122; las obligaciones específicas consistentes en los artículos 123 al 140, y las disposiciones particulares contempladas en los artículos 143 al 147, todos de la Ley de Transparencia. </w:t>
      </w:r>
    </w:p>
    <w:p w:rsidR="001A6622" w:rsidRPr="003B1FCE" w:rsidRDefault="001A6622" w:rsidP="001A6622">
      <w:pPr>
        <w:autoSpaceDE w:val="0"/>
        <w:autoSpaceDN w:val="0"/>
        <w:adjustRightInd w:val="0"/>
        <w:spacing w:line="360" w:lineRule="auto"/>
        <w:jc w:val="both"/>
        <w:rPr>
          <w:rFonts w:ascii="Arial" w:hAnsi="Arial" w:cs="Arial"/>
          <w:color w:val="000000" w:themeColor="text1"/>
        </w:rPr>
      </w:pPr>
    </w:p>
    <w:p w:rsidR="001A6622" w:rsidRPr="003B1FCE" w:rsidRDefault="001A6622" w:rsidP="001A6622">
      <w:pPr>
        <w:autoSpaceDE w:val="0"/>
        <w:autoSpaceDN w:val="0"/>
        <w:adjustRightInd w:val="0"/>
        <w:spacing w:line="360" w:lineRule="auto"/>
        <w:jc w:val="both"/>
        <w:rPr>
          <w:rFonts w:ascii="Arial" w:hAnsi="Arial" w:cs="Arial"/>
          <w:color w:val="000000" w:themeColor="text1"/>
        </w:rPr>
      </w:pPr>
      <w:r w:rsidRPr="003B1FCE">
        <w:rPr>
          <w:rFonts w:ascii="Arial" w:hAnsi="Arial" w:cs="Arial"/>
          <w:color w:val="000000" w:themeColor="text1"/>
        </w:rPr>
        <w:t xml:space="preserve">De conformidad con los Lineamientos de Evaluación, el valor de cada uno de estos índices corresponde al cincuenta por ciento del IGOT. Los artículos correspondientes a las obligaciones de transparencia comunes tienen un valor de sesenta por ciento del total del ICOT-PI y ICOT-PNT respectivamente; los artículos que hacen referencia a las obligaciones específicas de cada sujeto obligado tiene un valor de veinte por ciento del total de cada uno de estos índices, y las disposiciones particulares establecidas en los artículos 143, 145, 146 y 147 de la Ley de Transparencia tienen una ponderación del cinco por ciento en cada una de estas herramientas metodológicas. </w:t>
      </w:r>
    </w:p>
    <w:p w:rsidR="001A6622" w:rsidRPr="003B1FCE" w:rsidRDefault="001A6622" w:rsidP="001A6622">
      <w:pPr>
        <w:autoSpaceDE w:val="0"/>
        <w:autoSpaceDN w:val="0"/>
        <w:adjustRightInd w:val="0"/>
        <w:spacing w:line="360" w:lineRule="auto"/>
        <w:jc w:val="both"/>
        <w:rPr>
          <w:rFonts w:ascii="Arial" w:hAnsi="Arial" w:cs="Arial"/>
          <w:color w:val="000000" w:themeColor="text1"/>
        </w:rPr>
      </w:pPr>
    </w:p>
    <w:p w:rsidR="001A6622" w:rsidRPr="003B1FCE" w:rsidRDefault="001A6622" w:rsidP="001A6622">
      <w:pPr>
        <w:autoSpaceDE w:val="0"/>
        <w:autoSpaceDN w:val="0"/>
        <w:adjustRightInd w:val="0"/>
        <w:spacing w:line="360" w:lineRule="auto"/>
        <w:jc w:val="both"/>
        <w:rPr>
          <w:rFonts w:ascii="Arial" w:hAnsi="Arial" w:cs="Arial"/>
          <w:color w:val="000000" w:themeColor="text1"/>
        </w:rPr>
      </w:pPr>
      <w:r w:rsidRPr="003B1FCE">
        <w:rPr>
          <w:rFonts w:ascii="Arial" w:hAnsi="Arial" w:cs="Arial"/>
          <w:color w:val="000000" w:themeColor="text1"/>
        </w:rPr>
        <w:t xml:space="preserve">En atención a lo anterior, la evaluación realizada consistió en verificar el cumplimiento de la publicación de la información a través del cálculo inicial de 81 (ochenta y uno) índices simples: 21 (veintiuno) de criterios sustantivos de contenido, 20 (veinte) de criterios adjetivos de actualización, 20 (veinte) de criterios de confiabilidad y 20 (veinte) de criterios adjetivos de formato, tanto en el portal de internet como en la Plataforma Nacional de Transparencia. Los criterios sustantivos de contenido son aquellos relacionados con la existencia de la información; los </w:t>
      </w:r>
      <w:r w:rsidRPr="003B1FCE">
        <w:rPr>
          <w:rFonts w:ascii="Arial" w:hAnsi="Arial" w:cs="Arial"/>
          <w:color w:val="000000" w:themeColor="text1"/>
        </w:rPr>
        <w:lastRenderedPageBreak/>
        <w:t>criterios adjetivos de actualización establecen que la información publicada cumpla con los periodos de actualización y conservación; los criterios adjetivos de confiabilidad son aquellos que permiten identificar la fecha en que se actualizó por última vez la información, la fecha de validación y el área que generó la misma; y por último, los criterios adjetivos de formato determinan las característica mínimas con las que debe ser organizada, sistematizada y publicada la información, permitiendo así su reutilización.</w:t>
      </w:r>
    </w:p>
    <w:p w:rsidR="001A6622" w:rsidRPr="003B1FCE" w:rsidRDefault="001A6622" w:rsidP="001A6622">
      <w:pPr>
        <w:autoSpaceDE w:val="0"/>
        <w:autoSpaceDN w:val="0"/>
        <w:adjustRightInd w:val="0"/>
        <w:spacing w:line="360" w:lineRule="auto"/>
        <w:jc w:val="both"/>
        <w:rPr>
          <w:rFonts w:ascii="Arial" w:hAnsi="Arial" w:cs="Arial"/>
          <w:color w:val="000000" w:themeColor="text1"/>
        </w:rPr>
      </w:pPr>
    </w:p>
    <w:p w:rsidR="001A6622" w:rsidRPr="003B1FCE" w:rsidRDefault="001A6622" w:rsidP="001A6622">
      <w:pPr>
        <w:autoSpaceDE w:val="0"/>
        <w:autoSpaceDN w:val="0"/>
        <w:adjustRightInd w:val="0"/>
        <w:spacing w:line="360" w:lineRule="auto"/>
        <w:jc w:val="both"/>
        <w:rPr>
          <w:rFonts w:ascii="Arial" w:hAnsi="Arial" w:cs="Arial"/>
          <w:color w:val="000000" w:themeColor="text1"/>
        </w:rPr>
      </w:pPr>
      <w:r w:rsidRPr="003B1FCE">
        <w:rPr>
          <w:rFonts w:ascii="Arial" w:hAnsi="Arial" w:cs="Arial"/>
          <w:color w:val="000000" w:themeColor="text1"/>
        </w:rPr>
        <w:t xml:space="preserve">No obstante, debido a que esta evaluación consiste en verificar el cumplimiento de las recomendaciones y observaciones emitidas a cada uno de los 139 sujetos obligados que no alcanzaron el cumplimiento total de las obligaciones mínimas establecidas en la Ley de Transparencia local; el procedimiento de evaluación únicamente se concentró en verificar la correcta publicación y actualización de la información en lo que respecta a las obligaciones de transparencia que presentaba un índice de cumplimiento promedio inferior al 100%. </w:t>
      </w:r>
    </w:p>
    <w:p w:rsidR="001A6622" w:rsidRPr="003B1FCE" w:rsidRDefault="001A6622" w:rsidP="001A6622">
      <w:pPr>
        <w:autoSpaceDE w:val="0"/>
        <w:autoSpaceDN w:val="0"/>
        <w:adjustRightInd w:val="0"/>
        <w:spacing w:line="360" w:lineRule="auto"/>
        <w:jc w:val="both"/>
        <w:rPr>
          <w:rFonts w:ascii="Arial" w:hAnsi="Arial" w:cs="Arial"/>
          <w:color w:val="000000" w:themeColor="text1"/>
        </w:rPr>
      </w:pPr>
    </w:p>
    <w:p w:rsidR="001A6622" w:rsidRPr="003B1FCE" w:rsidRDefault="001A6622" w:rsidP="001A6622">
      <w:pPr>
        <w:autoSpaceDE w:val="0"/>
        <w:autoSpaceDN w:val="0"/>
        <w:adjustRightInd w:val="0"/>
        <w:spacing w:line="360" w:lineRule="auto"/>
        <w:jc w:val="both"/>
        <w:rPr>
          <w:rFonts w:ascii="Arial" w:hAnsi="Arial" w:cs="Arial"/>
          <w:color w:val="000000" w:themeColor="text1"/>
        </w:rPr>
      </w:pPr>
      <w:r w:rsidRPr="003B1FCE">
        <w:rPr>
          <w:rFonts w:ascii="Arial" w:hAnsi="Arial" w:cs="Arial"/>
          <w:color w:val="000000" w:themeColor="text1"/>
        </w:rPr>
        <w:t xml:space="preserve">Por su diseño, el IGOT puede asumir valores en el rango de 0 (cero) a 100 (cien) puntos, inclusive, escala en la que el valor mínimo representa un incumplimiento total de las obligaciones correspondientes; valores superiores a 0 (cero) puntos y de hasta 59.99 (cincuenta y nueve punto noventa y nueve) puntos, inclusive, representan un grado parcial de incumplimiento de las obligaciones; valores iguales o superiores a 60 (sesenta) puntos y menores a 100 (cien) puntos representan un cumplimiento parcial de las obligaciones mínimas; en tanto que el puntaje más alto representa el cabal cumplimiento de las obligaciones mínimas previstas por la Ley de Transparencia. </w:t>
      </w:r>
    </w:p>
    <w:p w:rsidR="001A6622" w:rsidRPr="003B1FCE" w:rsidRDefault="001A6622" w:rsidP="001A6622">
      <w:pPr>
        <w:autoSpaceDE w:val="0"/>
        <w:autoSpaceDN w:val="0"/>
        <w:adjustRightInd w:val="0"/>
        <w:spacing w:line="360" w:lineRule="auto"/>
        <w:jc w:val="both"/>
        <w:rPr>
          <w:rFonts w:ascii="Arial" w:hAnsi="Arial" w:cs="Arial"/>
          <w:color w:val="000000" w:themeColor="text1"/>
        </w:rPr>
      </w:pPr>
    </w:p>
    <w:p w:rsidR="001A6622" w:rsidRDefault="001A6622" w:rsidP="001A6622">
      <w:pPr>
        <w:autoSpaceDE w:val="0"/>
        <w:autoSpaceDN w:val="0"/>
        <w:adjustRightInd w:val="0"/>
        <w:spacing w:line="360" w:lineRule="auto"/>
        <w:jc w:val="both"/>
        <w:rPr>
          <w:rFonts w:ascii="Arial" w:hAnsi="Arial" w:cs="Arial"/>
          <w:color w:val="000000" w:themeColor="text1"/>
        </w:rPr>
      </w:pPr>
      <w:r w:rsidRPr="003B1FCE">
        <w:rPr>
          <w:rFonts w:ascii="Arial" w:hAnsi="Arial" w:cs="Arial"/>
          <w:color w:val="000000" w:themeColor="text1"/>
        </w:rPr>
        <w:t xml:space="preserve">Aunando a lo anterior, y en atención a que esta evaluación es únicamente sobre las recomendaciones y observaciones emitidas en la Primera Evaluación Vinculante 2019, respecto del ejercicio 2018; los sujetos obligados pueden alcanzar un </w:t>
      </w:r>
      <w:r w:rsidRPr="003B1FCE">
        <w:rPr>
          <w:rFonts w:ascii="Arial" w:hAnsi="Arial" w:cs="Arial"/>
          <w:color w:val="000000" w:themeColor="text1"/>
        </w:rPr>
        <w:lastRenderedPageBreak/>
        <w:t xml:space="preserve">cumplimento total con un IGOT de 100%, pueden subir si IGOT, mas no alcanzar el cumplimento total por persistir las áreas de oportunidad; pueden permanecer con el mismo IGOT que obtuvieron en la Evaluación primigenia, debido a la ausencia de atención a las recomendaciones; o pueden disminuir su IGOT, en el caso de que presenten un mayor número de recomendaciones y observaciones en sus obligaciones evaluadas. </w:t>
      </w:r>
    </w:p>
    <w:p w:rsidR="00B018FB" w:rsidRPr="00526F5E" w:rsidRDefault="00B018FB" w:rsidP="00B018FB">
      <w:pPr>
        <w:autoSpaceDE w:val="0"/>
        <w:autoSpaceDN w:val="0"/>
        <w:adjustRightInd w:val="0"/>
        <w:spacing w:line="360" w:lineRule="auto"/>
        <w:contextualSpacing/>
        <w:jc w:val="both"/>
        <w:rPr>
          <w:rFonts w:ascii="Arial" w:hAnsi="Arial" w:cs="Arial"/>
        </w:rPr>
      </w:pPr>
      <w:r w:rsidRPr="001758BC">
        <w:rPr>
          <w:rFonts w:ascii="Arial" w:hAnsi="Arial" w:cs="Arial"/>
        </w:rPr>
        <w:t xml:space="preserve">Los 139 sujetos obligados que tuvieron que atender las recomendaciones y </w:t>
      </w:r>
      <w:r w:rsidRPr="00526F5E">
        <w:rPr>
          <w:rFonts w:ascii="Arial" w:hAnsi="Arial" w:cs="Arial"/>
        </w:rPr>
        <w:t xml:space="preserve">observaciones cumplieron, en promedio, con un 78.33% de sus obligaciones de transparencia que tienen que publicar por ley en sus portales institucionales y la Plataforma Nacional de Transparencia. </w:t>
      </w:r>
    </w:p>
    <w:p w:rsidR="00B018FB" w:rsidRPr="00526F5E" w:rsidRDefault="00B018FB" w:rsidP="00B018FB">
      <w:pPr>
        <w:autoSpaceDE w:val="0"/>
        <w:autoSpaceDN w:val="0"/>
        <w:adjustRightInd w:val="0"/>
        <w:spacing w:line="360" w:lineRule="auto"/>
        <w:contextualSpacing/>
        <w:jc w:val="both"/>
        <w:rPr>
          <w:rFonts w:ascii="Arial" w:hAnsi="Arial" w:cs="Arial"/>
        </w:rPr>
      </w:pPr>
    </w:p>
    <w:p w:rsidR="00B018FB" w:rsidRPr="001758BC" w:rsidRDefault="00B018FB" w:rsidP="00B018FB">
      <w:pPr>
        <w:autoSpaceDE w:val="0"/>
        <w:autoSpaceDN w:val="0"/>
        <w:adjustRightInd w:val="0"/>
        <w:spacing w:line="360" w:lineRule="auto"/>
        <w:contextualSpacing/>
        <w:jc w:val="both"/>
        <w:rPr>
          <w:rFonts w:ascii="Arial" w:hAnsi="Arial" w:cs="Arial"/>
        </w:rPr>
      </w:pPr>
      <w:r w:rsidRPr="00526F5E">
        <w:rPr>
          <w:rFonts w:ascii="Arial" w:hAnsi="Arial" w:cs="Arial"/>
        </w:rPr>
        <w:t>Los sujetos obligados de la Ciudad de México incrementaron el cumplimiento promedio de sus obligaciones de transparencia, puesto que pasaron de tener un índice de 66.44% a uno de 78.33%, subiendo 11.89 puntos.</w:t>
      </w:r>
    </w:p>
    <w:p w:rsidR="00B018FB" w:rsidRDefault="00B018FB" w:rsidP="00B018FB">
      <w:pPr>
        <w:autoSpaceDE w:val="0"/>
        <w:autoSpaceDN w:val="0"/>
        <w:adjustRightInd w:val="0"/>
        <w:spacing w:line="360" w:lineRule="auto"/>
        <w:contextualSpacing/>
        <w:jc w:val="both"/>
        <w:rPr>
          <w:rFonts w:ascii="Arial" w:hAnsi="Arial" w:cs="Arial"/>
        </w:rPr>
      </w:pPr>
    </w:p>
    <w:p w:rsidR="00B018FB" w:rsidRDefault="00B018FB">
      <w:pPr>
        <w:rPr>
          <w:rFonts w:ascii="Arial" w:eastAsiaTheme="majorEastAsia" w:hAnsi="Arial" w:cs="Arial"/>
          <w:b/>
          <w:color w:val="000000" w:themeColor="text1"/>
          <w:lang w:eastAsia="en-US"/>
        </w:rPr>
      </w:pPr>
      <w:r>
        <w:rPr>
          <w:rFonts w:ascii="Arial" w:hAnsi="Arial" w:cs="Arial"/>
          <w:b/>
          <w:color w:val="000000" w:themeColor="text1"/>
        </w:rPr>
        <w:br w:type="page"/>
      </w:r>
    </w:p>
    <w:p w:rsidR="00B018FB" w:rsidRPr="00B018FB" w:rsidRDefault="00B018FB" w:rsidP="00B018FB">
      <w:pPr>
        <w:pStyle w:val="Ttulo1"/>
        <w:contextualSpacing/>
        <w:rPr>
          <w:rFonts w:ascii="Arial" w:hAnsi="Arial" w:cs="Arial"/>
          <w:b/>
          <w:color w:val="000000" w:themeColor="text1"/>
          <w:sz w:val="24"/>
          <w:szCs w:val="24"/>
        </w:rPr>
      </w:pPr>
      <w:bookmarkStart w:id="4" w:name="_Toc26913247"/>
      <w:r w:rsidRPr="00B018FB">
        <w:rPr>
          <w:rFonts w:ascii="Arial" w:hAnsi="Arial" w:cs="Arial"/>
          <w:b/>
          <w:color w:val="000000" w:themeColor="text1"/>
          <w:sz w:val="24"/>
          <w:szCs w:val="24"/>
        </w:rPr>
        <w:lastRenderedPageBreak/>
        <w:t>RESULTADO GLOBALES DE LA TERCERA EVALUACIÓN VINCULANTE 2019</w:t>
      </w:r>
      <w:bookmarkEnd w:id="4"/>
    </w:p>
    <w:p w:rsidR="00B018FB" w:rsidRPr="001758BC" w:rsidRDefault="00B018FB" w:rsidP="00B018FB">
      <w:pPr>
        <w:autoSpaceDE w:val="0"/>
        <w:autoSpaceDN w:val="0"/>
        <w:adjustRightInd w:val="0"/>
        <w:spacing w:line="360" w:lineRule="auto"/>
        <w:contextualSpacing/>
        <w:jc w:val="both"/>
        <w:rPr>
          <w:rFonts w:ascii="Arial" w:hAnsi="Arial" w:cs="Arial"/>
        </w:rPr>
      </w:pPr>
    </w:p>
    <w:p w:rsidR="00DC1BCA" w:rsidRPr="00843D9D" w:rsidRDefault="00DC1BCA" w:rsidP="00DC1BCA">
      <w:pPr>
        <w:autoSpaceDE w:val="0"/>
        <w:autoSpaceDN w:val="0"/>
        <w:adjustRightInd w:val="0"/>
        <w:spacing w:line="360" w:lineRule="auto"/>
        <w:contextualSpacing/>
        <w:jc w:val="both"/>
        <w:rPr>
          <w:rFonts w:ascii="Arial" w:hAnsi="Arial" w:cs="Arial"/>
          <w:color w:val="000000" w:themeColor="text1"/>
        </w:rPr>
      </w:pPr>
      <w:r w:rsidRPr="00843D9D">
        <w:rPr>
          <w:rFonts w:ascii="Arial" w:hAnsi="Arial" w:cs="Arial"/>
          <w:color w:val="000000" w:themeColor="text1"/>
        </w:rPr>
        <w:t xml:space="preserve">Los 139 sujetos obligados que tuvieron que atender las recomendaciones y observaciones cumplieron, en promedio, con un </w:t>
      </w:r>
      <w:r w:rsidRPr="003D3FB7">
        <w:rPr>
          <w:rFonts w:ascii="Arial" w:hAnsi="Arial" w:cs="Arial"/>
          <w:color w:val="000000" w:themeColor="text1"/>
          <w:highlight w:val="yellow"/>
        </w:rPr>
        <w:t>78.</w:t>
      </w:r>
      <w:r w:rsidR="00EF4482" w:rsidRPr="003D3FB7">
        <w:rPr>
          <w:rFonts w:ascii="Arial" w:hAnsi="Arial" w:cs="Arial"/>
          <w:color w:val="000000" w:themeColor="text1"/>
          <w:highlight w:val="yellow"/>
        </w:rPr>
        <w:t>62</w:t>
      </w:r>
      <w:r w:rsidRPr="003D3FB7">
        <w:rPr>
          <w:rFonts w:ascii="Arial" w:hAnsi="Arial" w:cs="Arial"/>
          <w:color w:val="000000" w:themeColor="text1"/>
          <w:highlight w:val="yellow"/>
        </w:rPr>
        <w:t>%</w:t>
      </w:r>
      <w:r w:rsidRPr="00843D9D">
        <w:rPr>
          <w:rFonts w:ascii="Arial" w:hAnsi="Arial" w:cs="Arial"/>
          <w:color w:val="000000" w:themeColor="text1"/>
        </w:rPr>
        <w:t xml:space="preserve"> de sus obligaciones de transparencia que tienen que publicar por ley en sus portales institucionales y la Plataforma Nacional de Transparencia. </w:t>
      </w:r>
    </w:p>
    <w:p w:rsidR="00DC1BCA" w:rsidRPr="00843D9D" w:rsidRDefault="00DC1BCA" w:rsidP="00DC1BCA">
      <w:pPr>
        <w:autoSpaceDE w:val="0"/>
        <w:autoSpaceDN w:val="0"/>
        <w:adjustRightInd w:val="0"/>
        <w:spacing w:line="360" w:lineRule="auto"/>
        <w:contextualSpacing/>
        <w:jc w:val="both"/>
        <w:rPr>
          <w:rFonts w:ascii="Arial" w:hAnsi="Arial" w:cs="Arial"/>
          <w:color w:val="000000" w:themeColor="text1"/>
        </w:rPr>
      </w:pPr>
    </w:p>
    <w:p w:rsidR="00DC1BCA" w:rsidRPr="00843D9D" w:rsidRDefault="00DC1BCA" w:rsidP="00DC1BCA">
      <w:pPr>
        <w:autoSpaceDE w:val="0"/>
        <w:autoSpaceDN w:val="0"/>
        <w:adjustRightInd w:val="0"/>
        <w:spacing w:line="360" w:lineRule="auto"/>
        <w:contextualSpacing/>
        <w:jc w:val="both"/>
        <w:rPr>
          <w:rFonts w:ascii="Arial" w:hAnsi="Arial" w:cs="Arial"/>
          <w:color w:val="000000" w:themeColor="text1"/>
        </w:rPr>
      </w:pPr>
      <w:r w:rsidRPr="00843D9D">
        <w:rPr>
          <w:rFonts w:ascii="Arial" w:hAnsi="Arial" w:cs="Arial"/>
          <w:color w:val="000000" w:themeColor="text1"/>
        </w:rPr>
        <w:t xml:space="preserve">Los sujetos obligados de la Ciudad de México incrementaron el cumplimiento promedio de sus obligaciones de transparencia, puesto que pasaron de tener un índice de </w:t>
      </w:r>
      <w:r w:rsidRPr="00EF4482">
        <w:rPr>
          <w:rFonts w:ascii="Arial" w:hAnsi="Arial" w:cs="Arial"/>
          <w:color w:val="000000" w:themeColor="text1"/>
          <w:highlight w:val="yellow"/>
        </w:rPr>
        <w:t>66.44% a uno de 78.</w:t>
      </w:r>
      <w:r w:rsidR="00EF4482" w:rsidRPr="00EF4482">
        <w:rPr>
          <w:rFonts w:ascii="Arial" w:hAnsi="Arial" w:cs="Arial"/>
          <w:color w:val="000000" w:themeColor="text1"/>
          <w:highlight w:val="yellow"/>
        </w:rPr>
        <w:t>62</w:t>
      </w:r>
      <w:r w:rsidRPr="00EF4482">
        <w:rPr>
          <w:rFonts w:ascii="Arial" w:hAnsi="Arial" w:cs="Arial"/>
          <w:color w:val="000000" w:themeColor="text1"/>
          <w:highlight w:val="yellow"/>
        </w:rPr>
        <w:t xml:space="preserve">%, subiendo </w:t>
      </w:r>
      <w:r w:rsidR="00EF4482" w:rsidRPr="00EF4482">
        <w:rPr>
          <w:rFonts w:ascii="Arial" w:hAnsi="Arial" w:cs="Arial"/>
          <w:color w:val="000000" w:themeColor="text1"/>
          <w:highlight w:val="yellow"/>
        </w:rPr>
        <w:t>12</w:t>
      </w:r>
      <w:r w:rsidRPr="00EF4482">
        <w:rPr>
          <w:rFonts w:ascii="Arial" w:hAnsi="Arial" w:cs="Arial"/>
          <w:color w:val="000000" w:themeColor="text1"/>
          <w:highlight w:val="yellow"/>
        </w:rPr>
        <w:t>.</w:t>
      </w:r>
      <w:r w:rsidR="00EF4482" w:rsidRPr="00EF4482">
        <w:rPr>
          <w:rFonts w:ascii="Arial" w:hAnsi="Arial" w:cs="Arial"/>
          <w:color w:val="000000" w:themeColor="text1"/>
          <w:highlight w:val="yellow"/>
        </w:rPr>
        <w:t>18</w:t>
      </w:r>
      <w:r w:rsidRPr="00EF4482">
        <w:rPr>
          <w:rFonts w:ascii="Arial" w:hAnsi="Arial" w:cs="Arial"/>
          <w:color w:val="000000" w:themeColor="text1"/>
          <w:highlight w:val="yellow"/>
        </w:rPr>
        <w:t xml:space="preserve"> puntos</w:t>
      </w:r>
      <w:r w:rsidRPr="00843D9D">
        <w:rPr>
          <w:rFonts w:ascii="Arial" w:hAnsi="Arial" w:cs="Arial"/>
          <w:color w:val="000000" w:themeColor="text1"/>
        </w:rPr>
        <w:t>.</w:t>
      </w:r>
    </w:p>
    <w:p w:rsidR="00DC1BCA" w:rsidRPr="00843D9D" w:rsidRDefault="00DC1BCA" w:rsidP="00DC1BCA">
      <w:pPr>
        <w:autoSpaceDE w:val="0"/>
        <w:autoSpaceDN w:val="0"/>
        <w:adjustRightInd w:val="0"/>
        <w:spacing w:line="360" w:lineRule="auto"/>
        <w:contextualSpacing/>
        <w:jc w:val="both"/>
        <w:rPr>
          <w:rFonts w:ascii="Arial" w:hAnsi="Arial" w:cs="Arial"/>
          <w:color w:val="000000" w:themeColor="text1"/>
        </w:rPr>
      </w:pPr>
    </w:p>
    <w:p w:rsidR="00DC1BCA" w:rsidRPr="00843D9D" w:rsidRDefault="00DC1BCA" w:rsidP="00DC1BCA">
      <w:pPr>
        <w:autoSpaceDE w:val="0"/>
        <w:autoSpaceDN w:val="0"/>
        <w:adjustRightInd w:val="0"/>
        <w:spacing w:line="360" w:lineRule="auto"/>
        <w:contextualSpacing/>
        <w:jc w:val="both"/>
        <w:rPr>
          <w:rFonts w:ascii="Arial" w:hAnsi="Arial" w:cs="Arial"/>
          <w:color w:val="000000" w:themeColor="text1"/>
        </w:rPr>
      </w:pPr>
      <w:r w:rsidRPr="00843D9D">
        <w:rPr>
          <w:rFonts w:ascii="Arial" w:hAnsi="Arial" w:cs="Arial"/>
          <w:color w:val="000000" w:themeColor="text1"/>
        </w:rPr>
        <w:t xml:space="preserve">Los 139 sujetos obligados evaluados se integran por: 21 sujetos pertenecientes a la Administración Central, 63 al ámbito de Órganos Desconcentrados, Fondos y Fideicomisos, 16 a las </w:t>
      </w:r>
      <w:r>
        <w:rPr>
          <w:rFonts w:ascii="Arial" w:hAnsi="Arial" w:cs="Arial"/>
          <w:color w:val="000000" w:themeColor="text1"/>
        </w:rPr>
        <w:t>Demarcaciones Territoriales</w:t>
      </w:r>
      <w:r w:rsidRPr="00843D9D">
        <w:rPr>
          <w:rFonts w:ascii="Arial" w:hAnsi="Arial" w:cs="Arial"/>
          <w:color w:val="000000" w:themeColor="text1"/>
        </w:rPr>
        <w:t xml:space="preserve">, 2 sujetos obligados del Poder Legislativo y Poder Judicial, respectivamente, 6 de los Órganos Autónomos, 8 Partidos Políticos y 21 de Sindicatos. </w:t>
      </w:r>
    </w:p>
    <w:p w:rsidR="00DC1BCA" w:rsidRPr="00843D9D" w:rsidRDefault="00DC1BCA" w:rsidP="00DC1BCA">
      <w:pPr>
        <w:autoSpaceDE w:val="0"/>
        <w:autoSpaceDN w:val="0"/>
        <w:adjustRightInd w:val="0"/>
        <w:spacing w:line="360" w:lineRule="auto"/>
        <w:contextualSpacing/>
        <w:jc w:val="both"/>
        <w:rPr>
          <w:rFonts w:ascii="Arial" w:hAnsi="Arial" w:cs="Arial"/>
          <w:color w:val="000000" w:themeColor="text1"/>
        </w:rPr>
      </w:pPr>
    </w:p>
    <w:p w:rsidR="00DC1BCA" w:rsidRPr="00843D9D" w:rsidRDefault="00DC1BCA" w:rsidP="00DC1BCA">
      <w:pPr>
        <w:autoSpaceDE w:val="0"/>
        <w:autoSpaceDN w:val="0"/>
        <w:adjustRightInd w:val="0"/>
        <w:spacing w:line="360" w:lineRule="auto"/>
        <w:contextualSpacing/>
        <w:jc w:val="both"/>
        <w:rPr>
          <w:rFonts w:ascii="Arial" w:hAnsi="Arial" w:cs="Arial"/>
          <w:color w:val="000000" w:themeColor="text1"/>
        </w:rPr>
      </w:pPr>
      <w:r w:rsidRPr="00843D9D">
        <w:rPr>
          <w:rFonts w:ascii="Arial" w:hAnsi="Arial" w:cs="Arial"/>
          <w:color w:val="000000" w:themeColor="text1"/>
        </w:rPr>
        <w:t xml:space="preserve">En esta evaluación se observó que 27 sujetos cumplieron con el 100% de las obligaciones señaladas por las disposiciones comunes, específicas y particulares de la Ley de Transparencia Local; mismos que se integran de la siguiente forma: 9 de la Administración Pública Centralizada, 8 del ámbito de Organismos Desconcentrados, Descentralizados, Paraestatales y Auxiliares, 3 </w:t>
      </w:r>
      <w:r>
        <w:rPr>
          <w:rFonts w:ascii="Arial" w:hAnsi="Arial" w:cs="Arial"/>
          <w:color w:val="000000" w:themeColor="text1"/>
        </w:rPr>
        <w:t>Demarcaciones Territoriales</w:t>
      </w:r>
      <w:r w:rsidRPr="00843D9D">
        <w:rPr>
          <w:rFonts w:ascii="Arial" w:hAnsi="Arial" w:cs="Arial"/>
          <w:color w:val="000000" w:themeColor="text1"/>
        </w:rPr>
        <w:t>, 1 sujeto obligado perteneciente al Poder Legislativo y Judicial respectivamente, 3 Órganos Autónomos y 2 Partidos Políticos.</w:t>
      </w:r>
    </w:p>
    <w:p w:rsidR="00DC1BCA" w:rsidRPr="00843D9D" w:rsidRDefault="00DC1BCA" w:rsidP="00DC1BCA">
      <w:pPr>
        <w:autoSpaceDE w:val="0"/>
        <w:autoSpaceDN w:val="0"/>
        <w:adjustRightInd w:val="0"/>
        <w:spacing w:line="360" w:lineRule="auto"/>
        <w:contextualSpacing/>
        <w:jc w:val="both"/>
        <w:rPr>
          <w:rFonts w:ascii="Arial" w:hAnsi="Arial" w:cs="Arial"/>
          <w:color w:val="000000" w:themeColor="text1"/>
        </w:rPr>
      </w:pPr>
    </w:p>
    <w:p w:rsidR="00DC1BCA" w:rsidRPr="00843D9D" w:rsidRDefault="00DC1BCA" w:rsidP="00DC1BCA">
      <w:pPr>
        <w:autoSpaceDE w:val="0"/>
        <w:autoSpaceDN w:val="0"/>
        <w:adjustRightInd w:val="0"/>
        <w:spacing w:line="360" w:lineRule="auto"/>
        <w:contextualSpacing/>
        <w:jc w:val="both"/>
        <w:rPr>
          <w:rFonts w:ascii="Arial" w:hAnsi="Arial" w:cs="Arial"/>
          <w:color w:val="000000" w:themeColor="text1"/>
        </w:rPr>
      </w:pPr>
      <w:r w:rsidRPr="00843D9D">
        <w:rPr>
          <w:rFonts w:ascii="Arial" w:hAnsi="Arial" w:cs="Arial"/>
          <w:color w:val="000000" w:themeColor="text1"/>
        </w:rPr>
        <w:t>De los 112 sujetos obligados que no cumplieron el piso mínimo</w:t>
      </w:r>
      <w:r w:rsidRPr="00EF4482">
        <w:rPr>
          <w:rFonts w:ascii="Arial" w:hAnsi="Arial" w:cs="Arial"/>
          <w:color w:val="000000" w:themeColor="text1"/>
          <w:highlight w:val="yellow"/>
        </w:rPr>
        <w:t>, 8</w:t>
      </w:r>
      <w:r w:rsidR="00EF4482" w:rsidRPr="00EF4482">
        <w:rPr>
          <w:rFonts w:ascii="Arial" w:hAnsi="Arial" w:cs="Arial"/>
          <w:color w:val="000000" w:themeColor="text1"/>
          <w:highlight w:val="yellow"/>
        </w:rPr>
        <w:t>4</w:t>
      </w:r>
      <w:r w:rsidRPr="00843D9D">
        <w:rPr>
          <w:rFonts w:ascii="Arial" w:hAnsi="Arial" w:cs="Arial"/>
          <w:color w:val="000000" w:themeColor="text1"/>
        </w:rPr>
        <w:t xml:space="preserve"> sujetos cumplieron parcialmente (IGOT mayor a 60%) y se integran de la siguiente forma: 11 de la Administración Pública Centralizada, 49 del ámbito de Organismos Desconcentrados, Descentralizados, Paraestatales y Auxiliares, 13 </w:t>
      </w:r>
      <w:r>
        <w:rPr>
          <w:rFonts w:ascii="Arial" w:hAnsi="Arial" w:cs="Arial"/>
          <w:color w:val="000000" w:themeColor="text1"/>
        </w:rPr>
        <w:t xml:space="preserve">Demarcaciones </w:t>
      </w:r>
      <w:r>
        <w:rPr>
          <w:rFonts w:ascii="Arial" w:hAnsi="Arial" w:cs="Arial"/>
          <w:color w:val="000000" w:themeColor="text1"/>
        </w:rPr>
        <w:lastRenderedPageBreak/>
        <w:t>Territoriales,</w:t>
      </w:r>
      <w:r w:rsidRPr="00843D9D">
        <w:rPr>
          <w:rFonts w:ascii="Arial" w:hAnsi="Arial" w:cs="Arial"/>
          <w:color w:val="000000" w:themeColor="text1"/>
        </w:rPr>
        <w:t xml:space="preserve"> 1 sujeto obligado perteneciente al Poder Legislativo y Judicial respectivamente, 3 Órganos Autónomos</w:t>
      </w:r>
      <w:r w:rsidR="00EF4482">
        <w:rPr>
          <w:rFonts w:ascii="Arial" w:hAnsi="Arial" w:cs="Arial"/>
          <w:color w:val="000000" w:themeColor="text1"/>
        </w:rPr>
        <w:t xml:space="preserve">, </w:t>
      </w:r>
      <w:r w:rsidR="00EF4482" w:rsidRPr="00EF4482">
        <w:rPr>
          <w:rFonts w:ascii="Arial" w:hAnsi="Arial" w:cs="Arial"/>
          <w:color w:val="000000" w:themeColor="text1"/>
          <w:highlight w:val="yellow"/>
        </w:rPr>
        <w:t>1 Partido Político</w:t>
      </w:r>
      <w:r w:rsidR="00EF4482">
        <w:rPr>
          <w:rFonts w:ascii="Arial" w:hAnsi="Arial" w:cs="Arial"/>
          <w:color w:val="000000" w:themeColor="text1"/>
        </w:rPr>
        <w:t xml:space="preserve"> </w:t>
      </w:r>
      <w:r w:rsidRPr="00843D9D">
        <w:rPr>
          <w:rFonts w:ascii="Arial" w:hAnsi="Arial" w:cs="Arial"/>
          <w:color w:val="000000" w:themeColor="text1"/>
        </w:rPr>
        <w:t xml:space="preserve">y 5 Sindicatos. </w:t>
      </w:r>
    </w:p>
    <w:p w:rsidR="00DC1BCA" w:rsidRPr="00843D9D" w:rsidRDefault="00DC1BCA" w:rsidP="00DC1BCA">
      <w:pPr>
        <w:autoSpaceDE w:val="0"/>
        <w:autoSpaceDN w:val="0"/>
        <w:adjustRightInd w:val="0"/>
        <w:spacing w:line="360" w:lineRule="auto"/>
        <w:contextualSpacing/>
        <w:jc w:val="both"/>
        <w:rPr>
          <w:rFonts w:ascii="Arial" w:hAnsi="Arial" w:cs="Arial"/>
          <w:color w:val="000000" w:themeColor="text1"/>
        </w:rPr>
      </w:pPr>
    </w:p>
    <w:p w:rsidR="00DC1BCA" w:rsidRPr="00843D9D" w:rsidRDefault="00DC1BCA" w:rsidP="00DC1BCA">
      <w:pPr>
        <w:autoSpaceDE w:val="0"/>
        <w:autoSpaceDN w:val="0"/>
        <w:adjustRightInd w:val="0"/>
        <w:spacing w:line="360" w:lineRule="auto"/>
        <w:contextualSpacing/>
        <w:jc w:val="both"/>
        <w:rPr>
          <w:rFonts w:ascii="Arial" w:hAnsi="Arial" w:cs="Arial"/>
          <w:color w:val="000000" w:themeColor="text1"/>
        </w:rPr>
      </w:pPr>
      <w:r w:rsidRPr="00843D9D">
        <w:rPr>
          <w:rFonts w:ascii="Arial" w:hAnsi="Arial" w:cs="Arial"/>
          <w:color w:val="000000" w:themeColor="text1"/>
        </w:rPr>
        <w:t xml:space="preserve">Por </w:t>
      </w:r>
      <w:r w:rsidRPr="00EF4482">
        <w:rPr>
          <w:rFonts w:ascii="Arial" w:hAnsi="Arial" w:cs="Arial"/>
          <w:color w:val="000000" w:themeColor="text1"/>
          <w:highlight w:val="yellow"/>
        </w:rPr>
        <w:t>último, 2</w:t>
      </w:r>
      <w:r w:rsidR="00EF4482" w:rsidRPr="00EF4482">
        <w:rPr>
          <w:rFonts w:ascii="Arial" w:hAnsi="Arial" w:cs="Arial"/>
          <w:color w:val="000000" w:themeColor="text1"/>
          <w:highlight w:val="yellow"/>
        </w:rPr>
        <w:t>8</w:t>
      </w:r>
      <w:r w:rsidRPr="00EF4482">
        <w:rPr>
          <w:rFonts w:ascii="Arial" w:hAnsi="Arial" w:cs="Arial"/>
          <w:color w:val="000000" w:themeColor="text1"/>
          <w:highlight w:val="yellow"/>
        </w:rPr>
        <w:t xml:space="preserve"> sujetos</w:t>
      </w:r>
      <w:r w:rsidRPr="00843D9D">
        <w:rPr>
          <w:rFonts w:ascii="Arial" w:hAnsi="Arial" w:cs="Arial"/>
          <w:color w:val="000000" w:themeColor="text1"/>
        </w:rPr>
        <w:t xml:space="preserve"> incumplieron parcialmente (IGOT de 59.99% o inferior) y se integran de la siguiente forma: 1 de la Administración Pública Centralizada, 6 del ámbito de Organismos Desconcentrados, Descentralizados, Paraestatales y Auxiliares, </w:t>
      </w:r>
      <w:r w:rsidR="00EF4482">
        <w:rPr>
          <w:rFonts w:ascii="Arial" w:hAnsi="Arial" w:cs="Arial"/>
          <w:color w:val="000000" w:themeColor="text1"/>
        </w:rPr>
        <w:t>5</w:t>
      </w:r>
      <w:r w:rsidRPr="00843D9D">
        <w:rPr>
          <w:rFonts w:ascii="Arial" w:hAnsi="Arial" w:cs="Arial"/>
          <w:color w:val="000000" w:themeColor="text1"/>
        </w:rPr>
        <w:t xml:space="preserve"> Partidos Políticos y 16 Sindicatos.</w:t>
      </w:r>
    </w:p>
    <w:p w:rsidR="00DC1BCA" w:rsidRPr="00843D9D" w:rsidRDefault="00DC1BCA" w:rsidP="00DC1BCA">
      <w:pPr>
        <w:autoSpaceDE w:val="0"/>
        <w:autoSpaceDN w:val="0"/>
        <w:adjustRightInd w:val="0"/>
        <w:spacing w:line="360" w:lineRule="auto"/>
        <w:contextualSpacing/>
        <w:jc w:val="both"/>
        <w:rPr>
          <w:rFonts w:ascii="Arial" w:hAnsi="Arial" w:cs="Arial"/>
          <w:color w:val="000000" w:themeColor="text1"/>
        </w:rPr>
      </w:pPr>
    </w:p>
    <w:tbl>
      <w:tblPr>
        <w:tblW w:w="9209" w:type="dxa"/>
        <w:tblCellMar>
          <w:left w:w="70" w:type="dxa"/>
          <w:right w:w="70" w:type="dxa"/>
        </w:tblCellMar>
        <w:tblLook w:val="04A0" w:firstRow="1" w:lastRow="0" w:firstColumn="1" w:lastColumn="0" w:noHBand="0" w:noVBand="1"/>
      </w:tblPr>
      <w:tblGrid>
        <w:gridCol w:w="1730"/>
        <w:gridCol w:w="1286"/>
        <w:gridCol w:w="1474"/>
        <w:gridCol w:w="1474"/>
        <w:gridCol w:w="1627"/>
        <w:gridCol w:w="1618"/>
      </w:tblGrid>
      <w:tr w:rsidR="00DC1BCA" w:rsidRPr="00843D9D" w:rsidTr="00356F3F">
        <w:trPr>
          <w:trHeight w:val="300"/>
          <w:tblHeader/>
        </w:trPr>
        <w:tc>
          <w:tcPr>
            <w:tcW w:w="9209" w:type="dxa"/>
            <w:gridSpan w:val="6"/>
            <w:tcBorders>
              <w:top w:val="single" w:sz="4" w:space="0" w:color="auto"/>
              <w:left w:val="single" w:sz="4" w:space="0" w:color="auto"/>
              <w:bottom w:val="single" w:sz="4" w:space="0" w:color="auto"/>
              <w:right w:val="single" w:sz="4" w:space="0" w:color="auto"/>
            </w:tcBorders>
            <w:shd w:val="clear" w:color="auto" w:fill="ED7D31" w:themeFill="accent2"/>
            <w:hideMark/>
          </w:tcPr>
          <w:p w:rsidR="00DC1BCA" w:rsidRPr="00843D9D" w:rsidRDefault="00DC1BCA" w:rsidP="00356F3F">
            <w:pPr>
              <w:jc w:val="center"/>
              <w:rPr>
                <w:rFonts w:ascii="Arial" w:hAnsi="Arial" w:cs="Arial"/>
                <w:b/>
                <w:bCs/>
                <w:color w:val="000000" w:themeColor="text1"/>
                <w:sz w:val="20"/>
                <w:szCs w:val="20"/>
              </w:rPr>
            </w:pPr>
            <w:r w:rsidRPr="00843D9D">
              <w:rPr>
                <w:rFonts w:ascii="Arial" w:hAnsi="Arial" w:cs="Arial"/>
                <w:b/>
                <w:bCs/>
                <w:color w:val="000000" w:themeColor="text1"/>
                <w:sz w:val="20"/>
                <w:szCs w:val="20"/>
                <w:lang w:val="es-ES_tradnl"/>
              </w:rPr>
              <w:t>Rubros de cumplimiento de los sujetos obligados de la Ciudad de México</w:t>
            </w:r>
          </w:p>
        </w:tc>
      </w:tr>
      <w:tr w:rsidR="00DC1BCA" w:rsidRPr="00843D9D" w:rsidTr="00356F3F">
        <w:trPr>
          <w:trHeight w:val="1120"/>
          <w:tblHeader/>
        </w:trPr>
        <w:tc>
          <w:tcPr>
            <w:tcW w:w="1730" w:type="dxa"/>
            <w:tcBorders>
              <w:top w:val="nil"/>
              <w:left w:val="single" w:sz="4" w:space="0" w:color="auto"/>
              <w:bottom w:val="single" w:sz="4" w:space="0" w:color="auto"/>
              <w:right w:val="single" w:sz="4" w:space="0" w:color="auto"/>
            </w:tcBorders>
            <w:shd w:val="clear" w:color="auto" w:fill="ED7D31" w:themeFill="accent2"/>
            <w:hideMark/>
          </w:tcPr>
          <w:p w:rsidR="00DC1BCA" w:rsidRPr="00843D9D" w:rsidRDefault="00DC1BCA" w:rsidP="00356F3F">
            <w:pPr>
              <w:rPr>
                <w:rFonts w:ascii="Arial" w:hAnsi="Arial" w:cs="Arial"/>
                <w:b/>
                <w:bCs/>
                <w:color w:val="000000" w:themeColor="text1"/>
                <w:sz w:val="20"/>
                <w:szCs w:val="20"/>
              </w:rPr>
            </w:pPr>
            <w:r w:rsidRPr="00843D9D">
              <w:rPr>
                <w:rFonts w:ascii="Arial" w:hAnsi="Arial" w:cs="Arial"/>
                <w:b/>
                <w:bCs/>
                <w:color w:val="000000" w:themeColor="text1"/>
                <w:sz w:val="20"/>
                <w:szCs w:val="20"/>
              </w:rPr>
              <w:t>Ámbito de Gobierno</w:t>
            </w:r>
          </w:p>
        </w:tc>
        <w:tc>
          <w:tcPr>
            <w:tcW w:w="1526" w:type="dxa"/>
            <w:tcBorders>
              <w:top w:val="nil"/>
              <w:left w:val="nil"/>
              <w:bottom w:val="single" w:sz="4" w:space="0" w:color="auto"/>
              <w:right w:val="single" w:sz="4" w:space="0" w:color="auto"/>
            </w:tcBorders>
            <w:shd w:val="clear" w:color="auto" w:fill="ED7D31" w:themeFill="accent2"/>
            <w:hideMark/>
          </w:tcPr>
          <w:p w:rsidR="00DC1BCA" w:rsidRPr="00843D9D" w:rsidRDefault="00DC1BCA" w:rsidP="00356F3F">
            <w:pPr>
              <w:jc w:val="center"/>
              <w:rPr>
                <w:rFonts w:ascii="Arial" w:hAnsi="Arial" w:cs="Arial"/>
                <w:b/>
                <w:bCs/>
                <w:color w:val="000000" w:themeColor="text1"/>
                <w:sz w:val="20"/>
                <w:szCs w:val="20"/>
              </w:rPr>
            </w:pPr>
            <w:r w:rsidRPr="00843D9D">
              <w:rPr>
                <w:rFonts w:ascii="Arial" w:hAnsi="Arial" w:cs="Arial"/>
                <w:b/>
                <w:bCs/>
                <w:color w:val="000000" w:themeColor="text1"/>
                <w:sz w:val="20"/>
                <w:szCs w:val="20"/>
              </w:rPr>
              <w:t>Número total de sujetos obligados</w:t>
            </w:r>
          </w:p>
        </w:tc>
        <w:tc>
          <w:tcPr>
            <w:tcW w:w="1224" w:type="dxa"/>
            <w:tcBorders>
              <w:top w:val="nil"/>
              <w:left w:val="nil"/>
              <w:bottom w:val="single" w:sz="4" w:space="0" w:color="auto"/>
              <w:right w:val="single" w:sz="4" w:space="0" w:color="auto"/>
            </w:tcBorders>
            <w:shd w:val="clear" w:color="auto" w:fill="ED7D31" w:themeFill="accent2"/>
            <w:hideMark/>
          </w:tcPr>
          <w:p w:rsidR="00DC1BCA" w:rsidRPr="00843D9D" w:rsidRDefault="00DC1BCA" w:rsidP="00356F3F">
            <w:pPr>
              <w:jc w:val="center"/>
              <w:rPr>
                <w:rFonts w:ascii="Arial" w:hAnsi="Arial" w:cs="Arial"/>
                <w:b/>
                <w:bCs/>
                <w:color w:val="000000" w:themeColor="text1"/>
                <w:sz w:val="20"/>
                <w:szCs w:val="20"/>
              </w:rPr>
            </w:pPr>
            <w:r w:rsidRPr="00843D9D">
              <w:rPr>
                <w:rFonts w:ascii="Arial" w:hAnsi="Arial" w:cs="Arial"/>
                <w:b/>
                <w:bCs/>
                <w:color w:val="000000" w:themeColor="text1"/>
                <w:sz w:val="20"/>
                <w:szCs w:val="20"/>
              </w:rPr>
              <w:t>Cumplimiento total</w:t>
            </w:r>
          </w:p>
          <w:p w:rsidR="00DC1BCA" w:rsidRPr="00843D9D" w:rsidRDefault="00DC1BCA" w:rsidP="00356F3F">
            <w:pPr>
              <w:jc w:val="center"/>
              <w:rPr>
                <w:rFonts w:ascii="Arial" w:hAnsi="Arial" w:cs="Arial"/>
                <w:b/>
                <w:bCs/>
                <w:color w:val="000000" w:themeColor="text1"/>
                <w:sz w:val="20"/>
                <w:szCs w:val="20"/>
              </w:rPr>
            </w:pPr>
            <w:r w:rsidRPr="00843D9D">
              <w:rPr>
                <w:rFonts w:ascii="Arial" w:hAnsi="Arial" w:cs="Arial"/>
                <w:b/>
                <w:bCs/>
                <w:color w:val="000000" w:themeColor="text1"/>
                <w:sz w:val="20"/>
                <w:szCs w:val="20"/>
              </w:rPr>
              <w:t>(100 puntos)</w:t>
            </w:r>
          </w:p>
        </w:tc>
        <w:tc>
          <w:tcPr>
            <w:tcW w:w="1474" w:type="dxa"/>
            <w:tcBorders>
              <w:top w:val="nil"/>
              <w:left w:val="nil"/>
              <w:bottom w:val="single" w:sz="4" w:space="0" w:color="auto"/>
              <w:right w:val="single" w:sz="4" w:space="0" w:color="auto"/>
            </w:tcBorders>
            <w:shd w:val="clear" w:color="auto" w:fill="ED7D31" w:themeFill="accent2"/>
            <w:hideMark/>
          </w:tcPr>
          <w:p w:rsidR="00DC1BCA" w:rsidRPr="00843D9D" w:rsidRDefault="00DC1BCA" w:rsidP="00356F3F">
            <w:pPr>
              <w:jc w:val="center"/>
              <w:rPr>
                <w:rFonts w:ascii="Arial" w:hAnsi="Arial" w:cs="Arial"/>
                <w:b/>
                <w:bCs/>
                <w:color w:val="000000" w:themeColor="text1"/>
                <w:sz w:val="20"/>
                <w:szCs w:val="20"/>
              </w:rPr>
            </w:pPr>
            <w:r w:rsidRPr="00843D9D">
              <w:rPr>
                <w:rFonts w:ascii="Arial" w:hAnsi="Arial" w:cs="Arial"/>
                <w:b/>
                <w:bCs/>
                <w:color w:val="000000" w:themeColor="text1"/>
                <w:sz w:val="20"/>
                <w:szCs w:val="20"/>
              </w:rPr>
              <w:t xml:space="preserve">Cumplimiento parcial </w:t>
            </w:r>
          </w:p>
          <w:p w:rsidR="00DC1BCA" w:rsidRPr="00843D9D" w:rsidRDefault="00DC1BCA" w:rsidP="00356F3F">
            <w:pPr>
              <w:jc w:val="center"/>
              <w:rPr>
                <w:rFonts w:ascii="Arial" w:hAnsi="Arial" w:cs="Arial"/>
                <w:b/>
                <w:bCs/>
                <w:color w:val="000000" w:themeColor="text1"/>
                <w:sz w:val="20"/>
                <w:szCs w:val="20"/>
              </w:rPr>
            </w:pPr>
            <w:r w:rsidRPr="00843D9D">
              <w:rPr>
                <w:rFonts w:ascii="Arial" w:hAnsi="Arial" w:cs="Arial"/>
                <w:b/>
                <w:bCs/>
                <w:color w:val="000000" w:themeColor="text1"/>
                <w:sz w:val="20"/>
                <w:szCs w:val="20"/>
              </w:rPr>
              <w:t>(60 a 99.99 puntos)</w:t>
            </w:r>
          </w:p>
        </w:tc>
        <w:tc>
          <w:tcPr>
            <w:tcW w:w="1637" w:type="dxa"/>
            <w:tcBorders>
              <w:top w:val="nil"/>
              <w:left w:val="nil"/>
              <w:bottom w:val="single" w:sz="4" w:space="0" w:color="auto"/>
              <w:right w:val="single" w:sz="4" w:space="0" w:color="auto"/>
            </w:tcBorders>
            <w:shd w:val="clear" w:color="auto" w:fill="ED7D31" w:themeFill="accent2"/>
            <w:hideMark/>
          </w:tcPr>
          <w:p w:rsidR="00DC1BCA" w:rsidRPr="00843D9D" w:rsidRDefault="00DC1BCA" w:rsidP="00356F3F">
            <w:pPr>
              <w:jc w:val="center"/>
              <w:rPr>
                <w:rFonts w:ascii="Arial" w:hAnsi="Arial" w:cs="Arial"/>
                <w:b/>
                <w:bCs/>
                <w:color w:val="000000" w:themeColor="text1"/>
                <w:sz w:val="20"/>
                <w:szCs w:val="20"/>
              </w:rPr>
            </w:pPr>
            <w:r w:rsidRPr="00843D9D">
              <w:rPr>
                <w:rFonts w:ascii="Arial" w:hAnsi="Arial" w:cs="Arial"/>
                <w:b/>
                <w:bCs/>
                <w:color w:val="000000" w:themeColor="text1"/>
                <w:sz w:val="20"/>
                <w:szCs w:val="20"/>
              </w:rPr>
              <w:t>Incumplimiento parcial</w:t>
            </w:r>
          </w:p>
          <w:p w:rsidR="00DC1BCA" w:rsidRPr="00843D9D" w:rsidRDefault="00DC1BCA" w:rsidP="00356F3F">
            <w:pPr>
              <w:jc w:val="center"/>
              <w:rPr>
                <w:rFonts w:ascii="Arial" w:hAnsi="Arial" w:cs="Arial"/>
                <w:b/>
                <w:bCs/>
                <w:color w:val="000000" w:themeColor="text1"/>
                <w:sz w:val="20"/>
                <w:szCs w:val="20"/>
              </w:rPr>
            </w:pPr>
            <w:r w:rsidRPr="00843D9D">
              <w:rPr>
                <w:rFonts w:ascii="Arial" w:hAnsi="Arial" w:cs="Arial"/>
                <w:b/>
                <w:bCs/>
                <w:color w:val="000000" w:themeColor="text1"/>
                <w:sz w:val="20"/>
                <w:szCs w:val="20"/>
              </w:rPr>
              <w:t>(1 a 59.99 puntos)</w:t>
            </w:r>
          </w:p>
        </w:tc>
        <w:tc>
          <w:tcPr>
            <w:tcW w:w="1618" w:type="dxa"/>
            <w:tcBorders>
              <w:top w:val="nil"/>
              <w:left w:val="nil"/>
              <w:bottom w:val="single" w:sz="4" w:space="0" w:color="auto"/>
              <w:right w:val="single" w:sz="4" w:space="0" w:color="auto"/>
            </w:tcBorders>
            <w:shd w:val="clear" w:color="auto" w:fill="ED7D31" w:themeFill="accent2"/>
            <w:hideMark/>
          </w:tcPr>
          <w:p w:rsidR="00DC1BCA" w:rsidRPr="00843D9D" w:rsidRDefault="00DC1BCA" w:rsidP="00356F3F">
            <w:pPr>
              <w:jc w:val="center"/>
              <w:rPr>
                <w:rFonts w:ascii="Arial" w:hAnsi="Arial" w:cs="Arial"/>
                <w:b/>
                <w:bCs/>
                <w:color w:val="000000" w:themeColor="text1"/>
                <w:sz w:val="20"/>
                <w:szCs w:val="20"/>
              </w:rPr>
            </w:pPr>
            <w:r w:rsidRPr="00843D9D">
              <w:rPr>
                <w:rFonts w:ascii="Arial" w:hAnsi="Arial" w:cs="Arial"/>
                <w:b/>
                <w:bCs/>
                <w:color w:val="000000" w:themeColor="text1"/>
                <w:sz w:val="20"/>
                <w:szCs w:val="20"/>
              </w:rPr>
              <w:t>Incumplimiento total</w:t>
            </w:r>
          </w:p>
          <w:p w:rsidR="00DC1BCA" w:rsidRPr="00843D9D" w:rsidRDefault="00DC1BCA" w:rsidP="00356F3F">
            <w:pPr>
              <w:jc w:val="center"/>
              <w:rPr>
                <w:rFonts w:ascii="Arial" w:hAnsi="Arial" w:cs="Arial"/>
                <w:b/>
                <w:bCs/>
                <w:color w:val="000000" w:themeColor="text1"/>
                <w:sz w:val="20"/>
                <w:szCs w:val="20"/>
              </w:rPr>
            </w:pPr>
            <w:r w:rsidRPr="00843D9D">
              <w:rPr>
                <w:rFonts w:ascii="Arial" w:hAnsi="Arial" w:cs="Arial"/>
                <w:b/>
                <w:bCs/>
                <w:color w:val="000000" w:themeColor="text1"/>
                <w:sz w:val="20"/>
                <w:szCs w:val="20"/>
              </w:rPr>
              <w:t>(0 puntos)</w:t>
            </w:r>
          </w:p>
        </w:tc>
      </w:tr>
      <w:tr w:rsidR="00DC1BCA" w:rsidRPr="00843D9D" w:rsidTr="00356F3F">
        <w:trPr>
          <w:trHeight w:val="580"/>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DC1BCA" w:rsidRPr="00843D9D" w:rsidRDefault="00DC1BCA" w:rsidP="00356F3F">
            <w:pPr>
              <w:rPr>
                <w:rFonts w:ascii="Arial" w:hAnsi="Arial" w:cs="Arial"/>
                <w:color w:val="000000" w:themeColor="text1"/>
                <w:sz w:val="20"/>
                <w:szCs w:val="20"/>
              </w:rPr>
            </w:pPr>
            <w:r w:rsidRPr="00843D9D">
              <w:rPr>
                <w:rFonts w:ascii="Arial" w:hAnsi="Arial" w:cs="Arial"/>
                <w:color w:val="000000" w:themeColor="text1"/>
                <w:sz w:val="20"/>
                <w:szCs w:val="20"/>
              </w:rPr>
              <w:t>Poder Ejecutivo - Administración Pública Centralizada</w:t>
            </w:r>
          </w:p>
        </w:tc>
        <w:tc>
          <w:tcPr>
            <w:tcW w:w="1526" w:type="dxa"/>
            <w:tcBorders>
              <w:top w:val="nil"/>
              <w:left w:val="nil"/>
              <w:bottom w:val="single" w:sz="4" w:space="0" w:color="auto"/>
              <w:right w:val="single" w:sz="4" w:space="0" w:color="auto"/>
            </w:tcBorders>
            <w:shd w:val="clear" w:color="000000" w:fill="FFFFFF"/>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21</w:t>
            </w:r>
          </w:p>
        </w:tc>
        <w:tc>
          <w:tcPr>
            <w:tcW w:w="1224"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9</w:t>
            </w:r>
          </w:p>
        </w:tc>
        <w:tc>
          <w:tcPr>
            <w:tcW w:w="1474"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11</w:t>
            </w:r>
          </w:p>
        </w:tc>
        <w:tc>
          <w:tcPr>
            <w:tcW w:w="1637"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1</w:t>
            </w:r>
          </w:p>
        </w:tc>
        <w:tc>
          <w:tcPr>
            <w:tcW w:w="1618"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0</w:t>
            </w:r>
          </w:p>
        </w:tc>
      </w:tr>
      <w:tr w:rsidR="00DC1BCA" w:rsidRPr="00843D9D" w:rsidTr="00356F3F">
        <w:trPr>
          <w:trHeight w:val="740"/>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DC1BCA" w:rsidRPr="00843D9D" w:rsidRDefault="00DC1BCA" w:rsidP="00356F3F">
            <w:pPr>
              <w:rPr>
                <w:rFonts w:ascii="Arial" w:hAnsi="Arial" w:cs="Arial"/>
                <w:color w:val="000000" w:themeColor="text1"/>
                <w:sz w:val="20"/>
                <w:szCs w:val="20"/>
              </w:rPr>
            </w:pPr>
            <w:r w:rsidRPr="00843D9D">
              <w:rPr>
                <w:rFonts w:ascii="Arial" w:hAnsi="Arial" w:cs="Arial"/>
                <w:color w:val="000000" w:themeColor="text1"/>
                <w:sz w:val="20"/>
                <w:szCs w:val="20"/>
              </w:rPr>
              <w:t>Poder Ejecutivo - Desconcentrados y Paraestatales Descentralizados, Auxiliares</w:t>
            </w:r>
          </w:p>
        </w:tc>
        <w:tc>
          <w:tcPr>
            <w:tcW w:w="1526" w:type="dxa"/>
            <w:tcBorders>
              <w:top w:val="nil"/>
              <w:left w:val="nil"/>
              <w:bottom w:val="single" w:sz="4" w:space="0" w:color="auto"/>
              <w:right w:val="single" w:sz="4" w:space="0" w:color="auto"/>
            </w:tcBorders>
            <w:shd w:val="clear" w:color="000000" w:fill="FFFFFF"/>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63</w:t>
            </w:r>
          </w:p>
        </w:tc>
        <w:tc>
          <w:tcPr>
            <w:tcW w:w="1224"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8</w:t>
            </w:r>
          </w:p>
        </w:tc>
        <w:tc>
          <w:tcPr>
            <w:tcW w:w="1474"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49</w:t>
            </w:r>
          </w:p>
        </w:tc>
        <w:tc>
          <w:tcPr>
            <w:tcW w:w="1637"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6</w:t>
            </w:r>
          </w:p>
        </w:tc>
        <w:tc>
          <w:tcPr>
            <w:tcW w:w="1618"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0</w:t>
            </w:r>
          </w:p>
        </w:tc>
      </w:tr>
      <w:tr w:rsidR="00DC1BCA" w:rsidRPr="00843D9D" w:rsidTr="00356F3F">
        <w:trPr>
          <w:trHeight w:val="580"/>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DC1BCA" w:rsidRPr="00843D9D" w:rsidRDefault="00DC1BCA" w:rsidP="00356F3F">
            <w:pPr>
              <w:rPr>
                <w:rFonts w:ascii="Arial" w:hAnsi="Arial" w:cs="Arial"/>
                <w:color w:val="000000" w:themeColor="text1"/>
                <w:sz w:val="20"/>
                <w:szCs w:val="20"/>
              </w:rPr>
            </w:pPr>
            <w:r w:rsidRPr="00843D9D">
              <w:rPr>
                <w:rFonts w:ascii="Arial" w:hAnsi="Arial" w:cs="Arial"/>
                <w:color w:val="000000" w:themeColor="text1"/>
                <w:sz w:val="20"/>
                <w:szCs w:val="20"/>
              </w:rPr>
              <w:t>Poder Ejecutivo - Demarcaciones Políticas / Alcaldías</w:t>
            </w:r>
          </w:p>
        </w:tc>
        <w:tc>
          <w:tcPr>
            <w:tcW w:w="1526" w:type="dxa"/>
            <w:tcBorders>
              <w:top w:val="nil"/>
              <w:left w:val="nil"/>
              <w:bottom w:val="single" w:sz="4" w:space="0" w:color="auto"/>
              <w:right w:val="single" w:sz="4" w:space="0" w:color="auto"/>
            </w:tcBorders>
            <w:shd w:val="clear" w:color="000000" w:fill="FFFFFF"/>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16</w:t>
            </w:r>
          </w:p>
        </w:tc>
        <w:tc>
          <w:tcPr>
            <w:tcW w:w="1224"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3</w:t>
            </w:r>
          </w:p>
        </w:tc>
        <w:tc>
          <w:tcPr>
            <w:tcW w:w="1474"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13</w:t>
            </w:r>
          </w:p>
        </w:tc>
        <w:tc>
          <w:tcPr>
            <w:tcW w:w="1637"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0</w:t>
            </w:r>
          </w:p>
        </w:tc>
        <w:tc>
          <w:tcPr>
            <w:tcW w:w="1618"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0</w:t>
            </w:r>
          </w:p>
        </w:tc>
      </w:tr>
      <w:tr w:rsidR="00DC1BCA" w:rsidRPr="00843D9D" w:rsidTr="00356F3F">
        <w:trPr>
          <w:trHeight w:val="300"/>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DC1BCA" w:rsidRPr="00843D9D" w:rsidRDefault="00DC1BCA" w:rsidP="00356F3F">
            <w:pPr>
              <w:rPr>
                <w:rFonts w:ascii="Arial" w:hAnsi="Arial" w:cs="Arial"/>
                <w:color w:val="000000" w:themeColor="text1"/>
                <w:sz w:val="20"/>
                <w:szCs w:val="20"/>
              </w:rPr>
            </w:pPr>
            <w:r w:rsidRPr="00843D9D">
              <w:rPr>
                <w:rFonts w:ascii="Arial" w:hAnsi="Arial" w:cs="Arial"/>
                <w:color w:val="000000" w:themeColor="text1"/>
                <w:sz w:val="20"/>
                <w:szCs w:val="20"/>
              </w:rPr>
              <w:t>Poder Legislativo</w:t>
            </w:r>
          </w:p>
        </w:tc>
        <w:tc>
          <w:tcPr>
            <w:tcW w:w="1526" w:type="dxa"/>
            <w:tcBorders>
              <w:top w:val="nil"/>
              <w:left w:val="nil"/>
              <w:bottom w:val="single" w:sz="4" w:space="0" w:color="auto"/>
              <w:right w:val="single" w:sz="4" w:space="0" w:color="auto"/>
            </w:tcBorders>
            <w:shd w:val="clear" w:color="000000" w:fill="FFFFFF"/>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2</w:t>
            </w:r>
          </w:p>
        </w:tc>
        <w:tc>
          <w:tcPr>
            <w:tcW w:w="1224"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1</w:t>
            </w:r>
          </w:p>
        </w:tc>
        <w:tc>
          <w:tcPr>
            <w:tcW w:w="1474"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1</w:t>
            </w:r>
          </w:p>
        </w:tc>
        <w:tc>
          <w:tcPr>
            <w:tcW w:w="1637"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0</w:t>
            </w:r>
          </w:p>
        </w:tc>
        <w:tc>
          <w:tcPr>
            <w:tcW w:w="1618"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0</w:t>
            </w:r>
          </w:p>
        </w:tc>
      </w:tr>
      <w:tr w:rsidR="00DC1BCA" w:rsidRPr="00843D9D" w:rsidTr="00356F3F">
        <w:trPr>
          <w:trHeight w:val="300"/>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DC1BCA" w:rsidRPr="00843D9D" w:rsidRDefault="00DC1BCA" w:rsidP="00356F3F">
            <w:pPr>
              <w:rPr>
                <w:rFonts w:ascii="Arial" w:hAnsi="Arial" w:cs="Arial"/>
                <w:color w:val="000000" w:themeColor="text1"/>
                <w:sz w:val="20"/>
                <w:szCs w:val="20"/>
              </w:rPr>
            </w:pPr>
            <w:r w:rsidRPr="00843D9D">
              <w:rPr>
                <w:rFonts w:ascii="Arial" w:hAnsi="Arial" w:cs="Arial"/>
                <w:color w:val="000000" w:themeColor="text1"/>
                <w:sz w:val="20"/>
                <w:szCs w:val="20"/>
              </w:rPr>
              <w:t>Poder Judicial</w:t>
            </w:r>
          </w:p>
        </w:tc>
        <w:tc>
          <w:tcPr>
            <w:tcW w:w="1526" w:type="dxa"/>
            <w:tcBorders>
              <w:top w:val="nil"/>
              <w:left w:val="nil"/>
              <w:bottom w:val="single" w:sz="4" w:space="0" w:color="auto"/>
              <w:right w:val="single" w:sz="4" w:space="0" w:color="auto"/>
            </w:tcBorders>
            <w:shd w:val="clear" w:color="000000" w:fill="FFFFFF"/>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rPr>
              <w:t>2</w:t>
            </w:r>
          </w:p>
        </w:tc>
        <w:tc>
          <w:tcPr>
            <w:tcW w:w="1224"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rPr>
              <w:t>1</w:t>
            </w:r>
          </w:p>
        </w:tc>
        <w:tc>
          <w:tcPr>
            <w:tcW w:w="1474"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rPr>
              <w:t>1</w:t>
            </w:r>
          </w:p>
        </w:tc>
        <w:tc>
          <w:tcPr>
            <w:tcW w:w="1637"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rPr>
              <w:t>0</w:t>
            </w:r>
          </w:p>
        </w:tc>
        <w:tc>
          <w:tcPr>
            <w:tcW w:w="1618"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rPr>
              <w:t>0</w:t>
            </w:r>
          </w:p>
        </w:tc>
      </w:tr>
      <w:tr w:rsidR="00DC1BCA" w:rsidRPr="00843D9D" w:rsidTr="00356F3F">
        <w:trPr>
          <w:trHeight w:val="300"/>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DC1BCA" w:rsidRPr="00843D9D" w:rsidRDefault="00DC1BCA" w:rsidP="00356F3F">
            <w:pPr>
              <w:rPr>
                <w:rFonts w:ascii="Arial" w:hAnsi="Arial" w:cs="Arial"/>
                <w:color w:val="000000" w:themeColor="text1"/>
                <w:sz w:val="20"/>
                <w:szCs w:val="20"/>
              </w:rPr>
            </w:pPr>
            <w:r w:rsidRPr="00843D9D">
              <w:rPr>
                <w:rFonts w:ascii="Arial" w:hAnsi="Arial" w:cs="Arial"/>
                <w:color w:val="000000" w:themeColor="text1"/>
                <w:sz w:val="20"/>
                <w:szCs w:val="20"/>
              </w:rPr>
              <w:t>Órganos Autónomos</w:t>
            </w:r>
          </w:p>
        </w:tc>
        <w:tc>
          <w:tcPr>
            <w:tcW w:w="1526" w:type="dxa"/>
            <w:tcBorders>
              <w:top w:val="nil"/>
              <w:left w:val="nil"/>
              <w:bottom w:val="single" w:sz="4" w:space="0" w:color="auto"/>
              <w:right w:val="single" w:sz="4" w:space="0" w:color="auto"/>
            </w:tcBorders>
            <w:shd w:val="clear" w:color="000000" w:fill="FFFFFF"/>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6</w:t>
            </w:r>
          </w:p>
        </w:tc>
        <w:tc>
          <w:tcPr>
            <w:tcW w:w="1224"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3</w:t>
            </w:r>
          </w:p>
        </w:tc>
        <w:tc>
          <w:tcPr>
            <w:tcW w:w="1474"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3</w:t>
            </w:r>
          </w:p>
        </w:tc>
        <w:tc>
          <w:tcPr>
            <w:tcW w:w="1637"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0</w:t>
            </w:r>
          </w:p>
        </w:tc>
        <w:tc>
          <w:tcPr>
            <w:tcW w:w="1618"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0</w:t>
            </w:r>
          </w:p>
        </w:tc>
      </w:tr>
      <w:tr w:rsidR="00DC1BCA" w:rsidRPr="00843D9D" w:rsidTr="00356F3F">
        <w:trPr>
          <w:trHeight w:val="300"/>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DC1BCA" w:rsidRPr="00843D9D" w:rsidRDefault="00DC1BCA" w:rsidP="00356F3F">
            <w:pPr>
              <w:rPr>
                <w:rFonts w:ascii="Arial" w:hAnsi="Arial" w:cs="Arial"/>
                <w:color w:val="000000" w:themeColor="text1"/>
                <w:sz w:val="20"/>
                <w:szCs w:val="20"/>
              </w:rPr>
            </w:pPr>
            <w:r w:rsidRPr="00843D9D">
              <w:rPr>
                <w:rFonts w:ascii="Arial" w:hAnsi="Arial" w:cs="Arial"/>
                <w:color w:val="000000" w:themeColor="text1"/>
                <w:sz w:val="20"/>
                <w:szCs w:val="20"/>
              </w:rPr>
              <w:t>Partidos Políticos</w:t>
            </w:r>
          </w:p>
        </w:tc>
        <w:tc>
          <w:tcPr>
            <w:tcW w:w="1526" w:type="dxa"/>
            <w:tcBorders>
              <w:top w:val="nil"/>
              <w:left w:val="nil"/>
              <w:bottom w:val="single" w:sz="4" w:space="0" w:color="auto"/>
              <w:right w:val="single" w:sz="4" w:space="0" w:color="auto"/>
            </w:tcBorders>
            <w:shd w:val="clear" w:color="000000" w:fill="FFFFFF"/>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rPr>
              <w:t>8</w:t>
            </w:r>
          </w:p>
        </w:tc>
        <w:tc>
          <w:tcPr>
            <w:tcW w:w="1224"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rPr>
              <w:t>2</w:t>
            </w:r>
          </w:p>
        </w:tc>
        <w:tc>
          <w:tcPr>
            <w:tcW w:w="1474" w:type="dxa"/>
            <w:tcBorders>
              <w:top w:val="nil"/>
              <w:left w:val="nil"/>
              <w:bottom w:val="single" w:sz="4" w:space="0" w:color="auto"/>
              <w:right w:val="single" w:sz="4" w:space="0" w:color="auto"/>
            </w:tcBorders>
            <w:shd w:val="clear" w:color="auto" w:fill="auto"/>
            <w:vAlign w:val="center"/>
            <w:hideMark/>
          </w:tcPr>
          <w:p w:rsidR="00DC1BCA" w:rsidRPr="00EF4482" w:rsidRDefault="00EF4482" w:rsidP="00356F3F">
            <w:pPr>
              <w:jc w:val="center"/>
              <w:rPr>
                <w:rFonts w:ascii="Arial" w:hAnsi="Arial" w:cs="Arial"/>
                <w:color w:val="000000" w:themeColor="text1"/>
                <w:sz w:val="20"/>
                <w:szCs w:val="20"/>
                <w:highlight w:val="yellow"/>
              </w:rPr>
            </w:pPr>
            <w:r w:rsidRPr="00EF4482">
              <w:rPr>
                <w:rFonts w:ascii="Arial" w:hAnsi="Arial" w:cs="Arial"/>
                <w:color w:val="000000" w:themeColor="text1"/>
                <w:sz w:val="20"/>
                <w:szCs w:val="20"/>
                <w:highlight w:val="yellow"/>
              </w:rPr>
              <w:t>1</w:t>
            </w:r>
          </w:p>
        </w:tc>
        <w:tc>
          <w:tcPr>
            <w:tcW w:w="1637" w:type="dxa"/>
            <w:tcBorders>
              <w:top w:val="nil"/>
              <w:left w:val="nil"/>
              <w:bottom w:val="single" w:sz="4" w:space="0" w:color="auto"/>
              <w:right w:val="single" w:sz="4" w:space="0" w:color="auto"/>
            </w:tcBorders>
            <w:shd w:val="clear" w:color="auto" w:fill="auto"/>
            <w:vAlign w:val="center"/>
            <w:hideMark/>
          </w:tcPr>
          <w:p w:rsidR="00DC1BCA" w:rsidRPr="00EF4482" w:rsidRDefault="00EF4482" w:rsidP="00356F3F">
            <w:pPr>
              <w:jc w:val="center"/>
              <w:rPr>
                <w:rFonts w:ascii="Arial" w:hAnsi="Arial" w:cs="Arial"/>
                <w:color w:val="000000" w:themeColor="text1"/>
                <w:sz w:val="20"/>
                <w:szCs w:val="20"/>
                <w:highlight w:val="yellow"/>
              </w:rPr>
            </w:pPr>
            <w:r w:rsidRPr="00EF4482">
              <w:rPr>
                <w:rFonts w:ascii="Arial" w:hAnsi="Arial" w:cs="Arial"/>
                <w:color w:val="000000" w:themeColor="text1"/>
                <w:sz w:val="20"/>
                <w:szCs w:val="20"/>
                <w:highlight w:val="yellow"/>
              </w:rPr>
              <w:t>5</w:t>
            </w:r>
          </w:p>
        </w:tc>
        <w:tc>
          <w:tcPr>
            <w:tcW w:w="1618"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rPr>
              <w:t>0</w:t>
            </w:r>
          </w:p>
        </w:tc>
      </w:tr>
      <w:tr w:rsidR="00DC1BCA" w:rsidRPr="00843D9D" w:rsidTr="00356F3F">
        <w:trPr>
          <w:trHeight w:val="300"/>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DC1BCA" w:rsidRPr="00843D9D" w:rsidRDefault="00DC1BCA" w:rsidP="00356F3F">
            <w:pPr>
              <w:rPr>
                <w:rFonts w:ascii="Arial" w:hAnsi="Arial" w:cs="Arial"/>
                <w:color w:val="000000" w:themeColor="text1"/>
                <w:sz w:val="20"/>
                <w:szCs w:val="20"/>
              </w:rPr>
            </w:pPr>
            <w:r w:rsidRPr="00843D9D">
              <w:rPr>
                <w:rFonts w:ascii="Arial" w:hAnsi="Arial" w:cs="Arial"/>
                <w:color w:val="000000" w:themeColor="text1"/>
                <w:sz w:val="20"/>
                <w:szCs w:val="20"/>
              </w:rPr>
              <w:t>Sindicatos</w:t>
            </w:r>
          </w:p>
        </w:tc>
        <w:tc>
          <w:tcPr>
            <w:tcW w:w="1526" w:type="dxa"/>
            <w:tcBorders>
              <w:top w:val="nil"/>
              <w:left w:val="nil"/>
              <w:bottom w:val="single" w:sz="4" w:space="0" w:color="auto"/>
              <w:right w:val="single" w:sz="4" w:space="0" w:color="auto"/>
            </w:tcBorders>
            <w:shd w:val="clear" w:color="000000" w:fill="FFFFFF"/>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21</w:t>
            </w:r>
          </w:p>
        </w:tc>
        <w:tc>
          <w:tcPr>
            <w:tcW w:w="1224"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0</w:t>
            </w:r>
          </w:p>
        </w:tc>
        <w:tc>
          <w:tcPr>
            <w:tcW w:w="1474"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5</w:t>
            </w:r>
          </w:p>
        </w:tc>
        <w:tc>
          <w:tcPr>
            <w:tcW w:w="1637"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16</w:t>
            </w:r>
          </w:p>
        </w:tc>
        <w:tc>
          <w:tcPr>
            <w:tcW w:w="1618"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lang w:val="es-ES_tradnl"/>
              </w:rPr>
              <w:t>0</w:t>
            </w:r>
          </w:p>
        </w:tc>
      </w:tr>
      <w:tr w:rsidR="00DC1BCA" w:rsidRPr="00843D9D" w:rsidTr="00356F3F">
        <w:trPr>
          <w:trHeight w:val="30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b/>
                <w:bCs/>
                <w:color w:val="000000" w:themeColor="text1"/>
                <w:sz w:val="20"/>
                <w:szCs w:val="20"/>
              </w:rPr>
            </w:pPr>
            <w:r w:rsidRPr="00843D9D">
              <w:rPr>
                <w:rFonts w:ascii="Arial" w:hAnsi="Arial" w:cs="Arial"/>
                <w:b/>
                <w:bCs/>
                <w:color w:val="000000" w:themeColor="text1"/>
                <w:sz w:val="20"/>
                <w:szCs w:val="20"/>
                <w:lang w:val="es-ES_tradnl"/>
              </w:rPr>
              <w:t>Total</w:t>
            </w:r>
          </w:p>
        </w:tc>
        <w:tc>
          <w:tcPr>
            <w:tcW w:w="1526"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b/>
                <w:bCs/>
                <w:color w:val="000000" w:themeColor="text1"/>
                <w:sz w:val="20"/>
                <w:szCs w:val="20"/>
              </w:rPr>
            </w:pPr>
            <w:r w:rsidRPr="00843D9D">
              <w:rPr>
                <w:rFonts w:ascii="Arial" w:hAnsi="Arial" w:cs="Arial"/>
                <w:b/>
                <w:bCs/>
                <w:color w:val="000000" w:themeColor="text1"/>
                <w:sz w:val="20"/>
                <w:szCs w:val="20"/>
                <w:lang w:val="es-ES_tradnl"/>
              </w:rPr>
              <w:t>139</w:t>
            </w:r>
          </w:p>
        </w:tc>
        <w:tc>
          <w:tcPr>
            <w:tcW w:w="1224"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b/>
                <w:bCs/>
                <w:color w:val="000000" w:themeColor="text1"/>
                <w:sz w:val="20"/>
                <w:szCs w:val="20"/>
              </w:rPr>
            </w:pPr>
            <w:r w:rsidRPr="00843D9D">
              <w:rPr>
                <w:rFonts w:ascii="Arial" w:hAnsi="Arial" w:cs="Arial"/>
                <w:b/>
                <w:bCs/>
                <w:color w:val="000000" w:themeColor="text1"/>
                <w:sz w:val="20"/>
                <w:szCs w:val="20"/>
                <w:lang w:val="es-ES_tradnl"/>
              </w:rPr>
              <w:t>27</w:t>
            </w:r>
          </w:p>
        </w:tc>
        <w:tc>
          <w:tcPr>
            <w:tcW w:w="1474"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b/>
                <w:bCs/>
                <w:color w:val="000000" w:themeColor="text1"/>
                <w:sz w:val="20"/>
                <w:szCs w:val="20"/>
              </w:rPr>
            </w:pPr>
            <w:r w:rsidRPr="00843D9D">
              <w:rPr>
                <w:rFonts w:ascii="Arial" w:hAnsi="Arial" w:cs="Arial"/>
                <w:b/>
                <w:bCs/>
                <w:color w:val="000000" w:themeColor="text1"/>
                <w:sz w:val="20"/>
                <w:szCs w:val="20"/>
                <w:lang w:val="es-ES_tradnl"/>
              </w:rPr>
              <w:t>8</w:t>
            </w:r>
            <w:r w:rsidR="00EF4482">
              <w:rPr>
                <w:rFonts w:ascii="Arial" w:hAnsi="Arial" w:cs="Arial"/>
                <w:b/>
                <w:bCs/>
                <w:color w:val="000000" w:themeColor="text1"/>
                <w:sz w:val="20"/>
                <w:szCs w:val="20"/>
                <w:lang w:val="es-ES_tradnl"/>
              </w:rPr>
              <w:t>4</w:t>
            </w:r>
          </w:p>
        </w:tc>
        <w:tc>
          <w:tcPr>
            <w:tcW w:w="1637"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b/>
                <w:bCs/>
                <w:color w:val="000000" w:themeColor="text1"/>
                <w:sz w:val="20"/>
                <w:szCs w:val="20"/>
              </w:rPr>
            </w:pPr>
            <w:r w:rsidRPr="00843D9D">
              <w:rPr>
                <w:rFonts w:ascii="Arial" w:hAnsi="Arial" w:cs="Arial"/>
                <w:b/>
                <w:bCs/>
                <w:color w:val="000000" w:themeColor="text1"/>
                <w:sz w:val="20"/>
                <w:szCs w:val="20"/>
                <w:lang w:val="es-ES_tradnl"/>
              </w:rPr>
              <w:t>2</w:t>
            </w:r>
            <w:r w:rsidR="00EF4482">
              <w:rPr>
                <w:rFonts w:ascii="Arial" w:hAnsi="Arial" w:cs="Arial"/>
                <w:b/>
                <w:bCs/>
                <w:color w:val="000000" w:themeColor="text1"/>
                <w:sz w:val="20"/>
                <w:szCs w:val="20"/>
                <w:lang w:val="es-ES_tradnl"/>
              </w:rPr>
              <w:t>8</w:t>
            </w:r>
          </w:p>
        </w:tc>
        <w:tc>
          <w:tcPr>
            <w:tcW w:w="1618" w:type="dxa"/>
            <w:tcBorders>
              <w:top w:val="nil"/>
              <w:left w:val="nil"/>
              <w:bottom w:val="single" w:sz="4" w:space="0" w:color="auto"/>
              <w:right w:val="single" w:sz="4" w:space="0" w:color="auto"/>
            </w:tcBorders>
            <w:shd w:val="clear" w:color="auto" w:fill="auto"/>
            <w:vAlign w:val="center"/>
            <w:hideMark/>
          </w:tcPr>
          <w:p w:rsidR="00DC1BCA" w:rsidRPr="00843D9D" w:rsidRDefault="00DC1BCA" w:rsidP="00356F3F">
            <w:pPr>
              <w:jc w:val="center"/>
              <w:rPr>
                <w:rFonts w:ascii="Arial" w:hAnsi="Arial" w:cs="Arial"/>
                <w:b/>
                <w:bCs/>
                <w:color w:val="000000" w:themeColor="text1"/>
                <w:sz w:val="20"/>
                <w:szCs w:val="20"/>
              </w:rPr>
            </w:pPr>
            <w:r w:rsidRPr="00843D9D">
              <w:rPr>
                <w:rFonts w:ascii="Arial" w:hAnsi="Arial" w:cs="Arial"/>
                <w:b/>
                <w:bCs/>
                <w:color w:val="000000" w:themeColor="text1"/>
                <w:sz w:val="20"/>
                <w:szCs w:val="20"/>
                <w:lang w:val="es-ES_tradnl"/>
              </w:rPr>
              <w:t>0</w:t>
            </w:r>
          </w:p>
        </w:tc>
      </w:tr>
    </w:tbl>
    <w:p w:rsidR="00DC1BCA" w:rsidRPr="00843D9D" w:rsidRDefault="00DC1BCA" w:rsidP="00DC1BCA">
      <w:pPr>
        <w:spacing w:line="360" w:lineRule="auto"/>
        <w:contextualSpacing/>
        <w:jc w:val="both"/>
        <w:rPr>
          <w:rFonts w:ascii="Arial" w:hAnsi="Arial" w:cs="Arial"/>
          <w:color w:val="000000" w:themeColor="text1"/>
        </w:rPr>
      </w:pPr>
      <w:r w:rsidRPr="00843D9D">
        <w:rPr>
          <w:rFonts w:ascii="Arial" w:hAnsi="Arial" w:cs="Arial"/>
          <w:noProof/>
          <w:color w:val="000000" w:themeColor="text1"/>
          <w:sz w:val="20"/>
          <w:szCs w:val="20"/>
        </w:rPr>
        <w:lastRenderedPageBreak/>
        <w:drawing>
          <wp:anchor distT="0" distB="0" distL="114300" distR="114300" simplePos="0" relativeHeight="251659264" behindDoc="0" locked="0" layoutInCell="1" allowOverlap="1" wp14:anchorId="50597340" wp14:editId="12A736E5">
            <wp:simplePos x="0" y="0"/>
            <wp:positionH relativeFrom="column">
              <wp:posOffset>-3810</wp:posOffset>
            </wp:positionH>
            <wp:positionV relativeFrom="paragraph">
              <wp:posOffset>151130</wp:posOffset>
            </wp:positionV>
            <wp:extent cx="5887720" cy="3734435"/>
            <wp:effectExtent l="0" t="0" r="17780" b="12065"/>
            <wp:wrapSquare wrapText="bothSides"/>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DC1BCA" w:rsidRPr="00843D9D" w:rsidRDefault="00DC1BCA" w:rsidP="00DC1BCA">
      <w:pPr>
        <w:autoSpaceDE w:val="0"/>
        <w:autoSpaceDN w:val="0"/>
        <w:adjustRightInd w:val="0"/>
        <w:spacing w:line="360" w:lineRule="auto"/>
        <w:contextualSpacing/>
        <w:jc w:val="both"/>
        <w:rPr>
          <w:rFonts w:ascii="Arial" w:hAnsi="Arial" w:cs="Arial"/>
          <w:color w:val="000000" w:themeColor="text1"/>
        </w:rPr>
      </w:pPr>
      <w:r w:rsidRPr="00843D9D">
        <w:rPr>
          <w:rFonts w:ascii="Arial" w:hAnsi="Arial" w:cs="Arial"/>
          <w:color w:val="000000" w:themeColor="text1"/>
        </w:rPr>
        <w:t xml:space="preserve">Por ámbito, el promedio de cumplimento se observó de la siguiente manera: 94.13% </w:t>
      </w:r>
      <w:r>
        <w:rPr>
          <w:rFonts w:ascii="Arial" w:hAnsi="Arial" w:cs="Arial"/>
          <w:color w:val="000000" w:themeColor="text1"/>
        </w:rPr>
        <w:t>el ámbito</w:t>
      </w:r>
      <w:r w:rsidRPr="00843D9D">
        <w:rPr>
          <w:rFonts w:ascii="Arial" w:hAnsi="Arial" w:cs="Arial"/>
          <w:color w:val="000000" w:themeColor="text1"/>
        </w:rPr>
        <w:t xml:space="preserve"> </w:t>
      </w:r>
      <w:r>
        <w:rPr>
          <w:rFonts w:ascii="Arial" w:hAnsi="Arial" w:cs="Arial"/>
          <w:color w:val="000000" w:themeColor="text1"/>
        </w:rPr>
        <w:t>de</w:t>
      </w:r>
      <w:r w:rsidRPr="00843D9D">
        <w:rPr>
          <w:rFonts w:ascii="Arial" w:hAnsi="Arial" w:cs="Arial"/>
          <w:color w:val="000000" w:themeColor="text1"/>
        </w:rPr>
        <w:t xml:space="preserve"> la Administración Central, 85.47% al ámbito de Órganos Desconcentrados, Fondos y Fideicomisos, 90.8% a las </w:t>
      </w:r>
      <w:r>
        <w:rPr>
          <w:rFonts w:ascii="Arial" w:hAnsi="Arial" w:cs="Arial"/>
          <w:color w:val="000000" w:themeColor="text1"/>
        </w:rPr>
        <w:t xml:space="preserve">Demarcaciones Territoriales, </w:t>
      </w:r>
      <w:r w:rsidRPr="00843D9D">
        <w:rPr>
          <w:rFonts w:ascii="Arial" w:hAnsi="Arial" w:cs="Arial"/>
          <w:color w:val="000000" w:themeColor="text1"/>
        </w:rPr>
        <w:t xml:space="preserve">98.18% del Poder Legislativo, 99.4% del Poder Judicial, 94.16% de los Órganos Autónomos, </w:t>
      </w:r>
      <w:r w:rsidR="003D3FB7" w:rsidRPr="003D3FB7">
        <w:rPr>
          <w:rFonts w:ascii="Arial" w:hAnsi="Arial" w:cs="Arial"/>
          <w:color w:val="000000" w:themeColor="text1"/>
          <w:highlight w:val="yellow"/>
        </w:rPr>
        <w:t>60.90</w:t>
      </w:r>
      <w:r w:rsidRPr="003D3FB7">
        <w:rPr>
          <w:rFonts w:ascii="Arial" w:hAnsi="Arial" w:cs="Arial"/>
          <w:color w:val="000000" w:themeColor="text1"/>
          <w:highlight w:val="yellow"/>
        </w:rPr>
        <w:t>%</w:t>
      </w:r>
      <w:r w:rsidRPr="00843D9D">
        <w:rPr>
          <w:rFonts w:ascii="Arial" w:hAnsi="Arial" w:cs="Arial"/>
          <w:color w:val="000000" w:themeColor="text1"/>
        </w:rPr>
        <w:t xml:space="preserve"> de los Partidos Políticos y 37.7% de Sindicatos.</w:t>
      </w:r>
    </w:p>
    <w:p w:rsidR="00DC1BCA" w:rsidRPr="00843D9D" w:rsidRDefault="00DC1BCA" w:rsidP="00DC1BCA">
      <w:pPr>
        <w:autoSpaceDE w:val="0"/>
        <w:autoSpaceDN w:val="0"/>
        <w:adjustRightInd w:val="0"/>
        <w:spacing w:line="360" w:lineRule="auto"/>
        <w:contextualSpacing/>
        <w:jc w:val="both"/>
        <w:rPr>
          <w:rFonts w:ascii="Arial" w:hAnsi="Arial" w:cs="Arial"/>
          <w:color w:val="000000" w:themeColor="text1"/>
        </w:rPr>
      </w:pPr>
    </w:p>
    <w:tbl>
      <w:tblPr>
        <w:tblW w:w="8779" w:type="dxa"/>
        <w:tblCellMar>
          <w:left w:w="70" w:type="dxa"/>
          <w:right w:w="70" w:type="dxa"/>
        </w:tblCellMar>
        <w:tblLook w:val="04A0" w:firstRow="1" w:lastRow="0" w:firstColumn="1" w:lastColumn="0" w:noHBand="0" w:noVBand="1"/>
      </w:tblPr>
      <w:tblGrid>
        <w:gridCol w:w="5093"/>
        <w:gridCol w:w="1843"/>
        <w:gridCol w:w="1843"/>
      </w:tblGrid>
      <w:tr w:rsidR="00DC1BCA" w:rsidRPr="00843D9D" w:rsidTr="00356F3F">
        <w:trPr>
          <w:trHeight w:val="320"/>
          <w:tblHeader/>
        </w:trPr>
        <w:tc>
          <w:tcPr>
            <w:tcW w:w="5093" w:type="dxa"/>
            <w:tcBorders>
              <w:top w:val="single" w:sz="8" w:space="0" w:color="000000"/>
              <w:left w:val="single" w:sz="8" w:space="0" w:color="000000"/>
              <w:bottom w:val="single" w:sz="8" w:space="0" w:color="000000"/>
              <w:right w:val="single" w:sz="8" w:space="0" w:color="000000"/>
            </w:tcBorders>
            <w:shd w:val="clear" w:color="auto" w:fill="ED7D31" w:themeFill="accent2"/>
            <w:vAlign w:val="bottom"/>
            <w:hideMark/>
          </w:tcPr>
          <w:p w:rsidR="00DC1BCA" w:rsidRPr="00843D9D" w:rsidRDefault="00DC1BCA" w:rsidP="00356F3F">
            <w:pPr>
              <w:jc w:val="center"/>
              <w:rPr>
                <w:rFonts w:ascii="Arial" w:hAnsi="Arial" w:cs="Arial"/>
                <w:b/>
                <w:bCs/>
                <w:color w:val="000000" w:themeColor="text1"/>
                <w:sz w:val="20"/>
                <w:szCs w:val="20"/>
              </w:rPr>
            </w:pPr>
            <w:r w:rsidRPr="00843D9D">
              <w:rPr>
                <w:rFonts w:ascii="Arial" w:hAnsi="Arial" w:cs="Arial"/>
                <w:b/>
                <w:bCs/>
                <w:color w:val="000000" w:themeColor="text1"/>
                <w:sz w:val="20"/>
                <w:szCs w:val="20"/>
              </w:rPr>
              <w:t>Ámbito de Gobierno</w:t>
            </w:r>
          </w:p>
        </w:tc>
        <w:tc>
          <w:tcPr>
            <w:tcW w:w="1843" w:type="dxa"/>
            <w:tcBorders>
              <w:top w:val="single" w:sz="8" w:space="0" w:color="000000"/>
              <w:left w:val="single" w:sz="8" w:space="0" w:color="CCCCCC"/>
              <w:bottom w:val="single" w:sz="8" w:space="0" w:color="000000"/>
              <w:right w:val="single" w:sz="8" w:space="0" w:color="000000"/>
            </w:tcBorders>
            <w:shd w:val="clear" w:color="auto" w:fill="ED7D31" w:themeFill="accent2"/>
            <w:vAlign w:val="bottom"/>
            <w:hideMark/>
          </w:tcPr>
          <w:p w:rsidR="00DC1BCA" w:rsidRPr="00843D9D" w:rsidRDefault="00DC1BCA" w:rsidP="00356F3F">
            <w:pPr>
              <w:jc w:val="center"/>
              <w:rPr>
                <w:rFonts w:ascii="Arial" w:hAnsi="Arial" w:cs="Arial"/>
                <w:b/>
                <w:bCs/>
                <w:color w:val="000000" w:themeColor="text1"/>
                <w:sz w:val="20"/>
                <w:szCs w:val="20"/>
              </w:rPr>
            </w:pPr>
            <w:r w:rsidRPr="00843D9D">
              <w:rPr>
                <w:rFonts w:ascii="Arial" w:hAnsi="Arial" w:cs="Arial"/>
                <w:b/>
                <w:bCs/>
                <w:color w:val="000000" w:themeColor="text1"/>
                <w:sz w:val="20"/>
                <w:szCs w:val="20"/>
              </w:rPr>
              <w:t>1° Evaluación ICP</w:t>
            </w:r>
          </w:p>
        </w:tc>
        <w:tc>
          <w:tcPr>
            <w:tcW w:w="1843" w:type="dxa"/>
            <w:tcBorders>
              <w:top w:val="single" w:sz="8" w:space="0" w:color="000000"/>
              <w:left w:val="single" w:sz="8" w:space="0" w:color="CCCCCC"/>
              <w:bottom w:val="single" w:sz="8" w:space="0" w:color="000000"/>
              <w:right w:val="single" w:sz="8" w:space="0" w:color="000000"/>
            </w:tcBorders>
            <w:shd w:val="clear" w:color="auto" w:fill="ED7D31" w:themeFill="accent2"/>
            <w:vAlign w:val="bottom"/>
            <w:hideMark/>
          </w:tcPr>
          <w:p w:rsidR="00DC1BCA" w:rsidRPr="00843D9D" w:rsidRDefault="00DC1BCA" w:rsidP="00356F3F">
            <w:pPr>
              <w:jc w:val="center"/>
              <w:rPr>
                <w:rFonts w:ascii="Arial" w:hAnsi="Arial" w:cs="Arial"/>
                <w:b/>
                <w:bCs/>
                <w:color w:val="000000" w:themeColor="text1"/>
                <w:sz w:val="20"/>
                <w:szCs w:val="20"/>
              </w:rPr>
            </w:pPr>
            <w:r w:rsidRPr="00843D9D">
              <w:rPr>
                <w:rFonts w:ascii="Arial" w:hAnsi="Arial" w:cs="Arial"/>
                <w:b/>
                <w:bCs/>
                <w:color w:val="000000" w:themeColor="text1"/>
                <w:sz w:val="20"/>
                <w:szCs w:val="20"/>
              </w:rPr>
              <w:t>3° Evaluación ICP</w:t>
            </w:r>
          </w:p>
        </w:tc>
      </w:tr>
      <w:tr w:rsidR="00DC1BCA" w:rsidRPr="00843D9D" w:rsidTr="00356F3F">
        <w:trPr>
          <w:trHeight w:val="320"/>
        </w:trPr>
        <w:tc>
          <w:tcPr>
            <w:tcW w:w="5093"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DC1BCA" w:rsidRPr="00843D9D" w:rsidRDefault="00DC1BCA" w:rsidP="00356F3F">
            <w:pPr>
              <w:rPr>
                <w:rFonts w:ascii="Arial" w:hAnsi="Arial" w:cs="Arial"/>
                <w:color w:val="000000" w:themeColor="text1"/>
                <w:sz w:val="20"/>
                <w:szCs w:val="20"/>
              </w:rPr>
            </w:pPr>
            <w:r w:rsidRPr="00843D9D">
              <w:rPr>
                <w:rFonts w:ascii="Arial" w:hAnsi="Arial" w:cs="Arial"/>
                <w:color w:val="000000" w:themeColor="text1"/>
                <w:sz w:val="20"/>
                <w:szCs w:val="20"/>
              </w:rPr>
              <w:t>Poder Ejecutivo - Administración Pública Centralizada</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rPr>
              <w:t>80.13</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rPr>
              <w:t>94.13</w:t>
            </w:r>
          </w:p>
        </w:tc>
      </w:tr>
      <w:tr w:rsidR="00DC1BCA" w:rsidRPr="00843D9D" w:rsidTr="00356F3F">
        <w:trPr>
          <w:trHeight w:val="600"/>
        </w:trPr>
        <w:tc>
          <w:tcPr>
            <w:tcW w:w="5093"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DC1BCA" w:rsidRPr="00843D9D" w:rsidRDefault="00DC1BCA" w:rsidP="00356F3F">
            <w:pPr>
              <w:rPr>
                <w:rFonts w:ascii="Arial" w:hAnsi="Arial" w:cs="Arial"/>
                <w:color w:val="000000" w:themeColor="text1"/>
                <w:sz w:val="20"/>
                <w:szCs w:val="20"/>
              </w:rPr>
            </w:pPr>
            <w:r w:rsidRPr="00843D9D">
              <w:rPr>
                <w:rFonts w:ascii="Arial" w:hAnsi="Arial" w:cs="Arial"/>
                <w:color w:val="000000" w:themeColor="text1"/>
                <w:sz w:val="20"/>
                <w:szCs w:val="20"/>
              </w:rPr>
              <w:t xml:space="preserve">Poder </w:t>
            </w:r>
            <w:proofErr w:type="spellStart"/>
            <w:r w:rsidRPr="00843D9D">
              <w:rPr>
                <w:rFonts w:ascii="Arial" w:hAnsi="Arial" w:cs="Arial"/>
                <w:color w:val="000000" w:themeColor="text1"/>
                <w:sz w:val="20"/>
                <w:szCs w:val="20"/>
              </w:rPr>
              <w:t>Ejcutivo</w:t>
            </w:r>
            <w:proofErr w:type="spellEnd"/>
            <w:r w:rsidRPr="00843D9D">
              <w:rPr>
                <w:rFonts w:ascii="Arial" w:hAnsi="Arial" w:cs="Arial"/>
                <w:color w:val="000000" w:themeColor="text1"/>
                <w:sz w:val="20"/>
                <w:szCs w:val="20"/>
              </w:rPr>
              <w:t xml:space="preserve"> - Desconcentrados y Paraestatales Descentralizados, Auxiliares</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rPr>
              <w:t>69.64</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rPr>
              <w:t>85.47</w:t>
            </w:r>
          </w:p>
        </w:tc>
      </w:tr>
      <w:tr w:rsidR="00DC1BCA" w:rsidRPr="00843D9D" w:rsidTr="00356F3F">
        <w:trPr>
          <w:trHeight w:val="320"/>
        </w:trPr>
        <w:tc>
          <w:tcPr>
            <w:tcW w:w="5093"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DC1BCA" w:rsidRPr="00843D9D" w:rsidRDefault="00DC1BCA" w:rsidP="00356F3F">
            <w:pPr>
              <w:rPr>
                <w:rFonts w:ascii="Arial" w:hAnsi="Arial" w:cs="Arial"/>
                <w:color w:val="000000" w:themeColor="text1"/>
                <w:sz w:val="20"/>
                <w:szCs w:val="20"/>
              </w:rPr>
            </w:pPr>
            <w:r w:rsidRPr="00843D9D">
              <w:rPr>
                <w:rFonts w:ascii="Arial" w:hAnsi="Arial" w:cs="Arial"/>
                <w:color w:val="000000" w:themeColor="text1"/>
                <w:sz w:val="20"/>
                <w:szCs w:val="20"/>
              </w:rPr>
              <w:t xml:space="preserve">Poder Ejecutivo - Demarcaciones </w:t>
            </w:r>
            <w:r>
              <w:rPr>
                <w:rFonts w:ascii="Arial" w:hAnsi="Arial" w:cs="Arial"/>
                <w:color w:val="000000" w:themeColor="text1"/>
                <w:sz w:val="20"/>
                <w:szCs w:val="20"/>
              </w:rPr>
              <w:t>Territoriales</w:t>
            </w:r>
            <w:r w:rsidRPr="00843D9D">
              <w:rPr>
                <w:rFonts w:ascii="Arial" w:hAnsi="Arial" w:cs="Arial"/>
                <w:color w:val="000000" w:themeColor="text1"/>
                <w:sz w:val="20"/>
                <w:szCs w:val="20"/>
              </w:rPr>
              <w:t xml:space="preserve"> / Alcaldías</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rPr>
              <w:t>60.03</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rPr>
              <w:t>90.8</w:t>
            </w:r>
          </w:p>
        </w:tc>
      </w:tr>
      <w:tr w:rsidR="00DC1BCA" w:rsidRPr="00843D9D" w:rsidTr="00356F3F">
        <w:trPr>
          <w:trHeight w:val="320"/>
        </w:trPr>
        <w:tc>
          <w:tcPr>
            <w:tcW w:w="5093"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DC1BCA" w:rsidRPr="00843D9D" w:rsidRDefault="00DC1BCA" w:rsidP="00356F3F">
            <w:pPr>
              <w:rPr>
                <w:rFonts w:ascii="Arial" w:hAnsi="Arial" w:cs="Arial"/>
                <w:color w:val="000000" w:themeColor="text1"/>
                <w:sz w:val="20"/>
                <w:szCs w:val="20"/>
              </w:rPr>
            </w:pPr>
            <w:r w:rsidRPr="00843D9D">
              <w:rPr>
                <w:rFonts w:ascii="Arial" w:hAnsi="Arial" w:cs="Arial"/>
                <w:color w:val="000000" w:themeColor="text1"/>
                <w:sz w:val="20"/>
                <w:szCs w:val="20"/>
              </w:rPr>
              <w:t>Poder Legislativo</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rPr>
              <w:t>57.96</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rPr>
              <w:t>98.18</w:t>
            </w:r>
          </w:p>
        </w:tc>
      </w:tr>
      <w:tr w:rsidR="00DC1BCA" w:rsidRPr="00843D9D" w:rsidTr="00356F3F">
        <w:trPr>
          <w:trHeight w:val="320"/>
        </w:trPr>
        <w:tc>
          <w:tcPr>
            <w:tcW w:w="5093"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DC1BCA" w:rsidRPr="00843D9D" w:rsidRDefault="00DC1BCA" w:rsidP="00356F3F">
            <w:pPr>
              <w:rPr>
                <w:rFonts w:ascii="Arial" w:hAnsi="Arial" w:cs="Arial"/>
                <w:color w:val="000000" w:themeColor="text1"/>
                <w:sz w:val="20"/>
                <w:szCs w:val="20"/>
              </w:rPr>
            </w:pPr>
            <w:r w:rsidRPr="00843D9D">
              <w:rPr>
                <w:rFonts w:ascii="Arial" w:hAnsi="Arial" w:cs="Arial"/>
                <w:color w:val="000000" w:themeColor="text1"/>
                <w:sz w:val="20"/>
                <w:szCs w:val="20"/>
              </w:rPr>
              <w:t>Poder Judicial</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rPr>
              <w:t>96.4</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rPr>
              <w:t>99.4</w:t>
            </w:r>
          </w:p>
        </w:tc>
      </w:tr>
      <w:tr w:rsidR="00DC1BCA" w:rsidRPr="00843D9D" w:rsidTr="00356F3F">
        <w:trPr>
          <w:trHeight w:val="320"/>
        </w:trPr>
        <w:tc>
          <w:tcPr>
            <w:tcW w:w="5093"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DC1BCA" w:rsidRPr="00843D9D" w:rsidRDefault="00DC1BCA" w:rsidP="00356F3F">
            <w:pPr>
              <w:rPr>
                <w:rFonts w:ascii="Arial" w:hAnsi="Arial" w:cs="Arial"/>
                <w:color w:val="000000" w:themeColor="text1"/>
                <w:sz w:val="20"/>
                <w:szCs w:val="20"/>
              </w:rPr>
            </w:pPr>
            <w:r w:rsidRPr="00843D9D">
              <w:rPr>
                <w:rFonts w:ascii="Arial" w:hAnsi="Arial" w:cs="Arial"/>
                <w:color w:val="000000" w:themeColor="text1"/>
                <w:sz w:val="20"/>
                <w:szCs w:val="20"/>
              </w:rPr>
              <w:t>Órganos Autónomos</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rPr>
              <w:t>86.15</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rPr>
              <w:t>94.16</w:t>
            </w:r>
          </w:p>
        </w:tc>
      </w:tr>
      <w:tr w:rsidR="00DC1BCA" w:rsidRPr="00843D9D" w:rsidTr="00356F3F">
        <w:trPr>
          <w:trHeight w:val="320"/>
        </w:trPr>
        <w:tc>
          <w:tcPr>
            <w:tcW w:w="5093"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DC1BCA" w:rsidRPr="00843D9D" w:rsidRDefault="00DC1BCA" w:rsidP="00356F3F">
            <w:pPr>
              <w:rPr>
                <w:rFonts w:ascii="Arial" w:hAnsi="Arial" w:cs="Arial"/>
                <w:color w:val="000000" w:themeColor="text1"/>
                <w:sz w:val="20"/>
                <w:szCs w:val="20"/>
              </w:rPr>
            </w:pPr>
            <w:r w:rsidRPr="00843D9D">
              <w:rPr>
                <w:rFonts w:ascii="Arial" w:hAnsi="Arial" w:cs="Arial"/>
                <w:color w:val="000000" w:themeColor="text1"/>
                <w:sz w:val="20"/>
                <w:szCs w:val="20"/>
              </w:rPr>
              <w:lastRenderedPageBreak/>
              <w:t>Partidos Políticos</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rPr>
              <w:t>64.89</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C1BCA" w:rsidRPr="00843D9D" w:rsidRDefault="003D3FB7" w:rsidP="00356F3F">
            <w:pPr>
              <w:jc w:val="center"/>
              <w:rPr>
                <w:rFonts w:ascii="Arial" w:hAnsi="Arial" w:cs="Arial"/>
                <w:color w:val="000000" w:themeColor="text1"/>
                <w:sz w:val="20"/>
                <w:szCs w:val="20"/>
              </w:rPr>
            </w:pPr>
            <w:r w:rsidRPr="003D3FB7">
              <w:rPr>
                <w:rFonts w:ascii="Arial" w:hAnsi="Arial" w:cs="Arial"/>
                <w:color w:val="000000" w:themeColor="text1"/>
                <w:sz w:val="20"/>
                <w:szCs w:val="20"/>
                <w:highlight w:val="yellow"/>
              </w:rPr>
              <w:t>60.90</w:t>
            </w:r>
          </w:p>
        </w:tc>
      </w:tr>
      <w:tr w:rsidR="00DC1BCA" w:rsidRPr="00843D9D" w:rsidTr="00356F3F">
        <w:trPr>
          <w:trHeight w:val="320"/>
        </w:trPr>
        <w:tc>
          <w:tcPr>
            <w:tcW w:w="5093"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DC1BCA" w:rsidRPr="00843D9D" w:rsidRDefault="00DC1BCA" w:rsidP="00356F3F">
            <w:pPr>
              <w:rPr>
                <w:rFonts w:ascii="Arial" w:hAnsi="Arial" w:cs="Arial"/>
                <w:color w:val="000000" w:themeColor="text1"/>
                <w:sz w:val="20"/>
                <w:szCs w:val="20"/>
              </w:rPr>
            </w:pPr>
            <w:r w:rsidRPr="00843D9D">
              <w:rPr>
                <w:rFonts w:ascii="Arial" w:hAnsi="Arial" w:cs="Arial"/>
                <w:color w:val="000000" w:themeColor="text1"/>
                <w:sz w:val="20"/>
                <w:szCs w:val="20"/>
              </w:rPr>
              <w:t>Sindicatos</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rPr>
              <w:t>24.81</w:t>
            </w:r>
          </w:p>
        </w:tc>
        <w:tc>
          <w:tcPr>
            <w:tcW w:w="1843"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C1BCA" w:rsidRPr="00843D9D" w:rsidRDefault="00DC1BCA" w:rsidP="00356F3F">
            <w:pPr>
              <w:jc w:val="center"/>
              <w:rPr>
                <w:rFonts w:ascii="Arial" w:hAnsi="Arial" w:cs="Arial"/>
                <w:color w:val="000000" w:themeColor="text1"/>
                <w:sz w:val="20"/>
                <w:szCs w:val="20"/>
              </w:rPr>
            </w:pPr>
            <w:r w:rsidRPr="00843D9D">
              <w:rPr>
                <w:rFonts w:ascii="Arial" w:hAnsi="Arial" w:cs="Arial"/>
                <w:color w:val="000000" w:themeColor="text1"/>
                <w:sz w:val="20"/>
                <w:szCs w:val="20"/>
              </w:rPr>
              <w:t>37.7</w:t>
            </w:r>
          </w:p>
        </w:tc>
      </w:tr>
    </w:tbl>
    <w:p w:rsidR="00DC1BCA" w:rsidRPr="00843D9D" w:rsidRDefault="00DC1BCA" w:rsidP="00DC1BCA">
      <w:pPr>
        <w:autoSpaceDE w:val="0"/>
        <w:autoSpaceDN w:val="0"/>
        <w:adjustRightInd w:val="0"/>
        <w:spacing w:line="360" w:lineRule="auto"/>
        <w:contextualSpacing/>
        <w:jc w:val="both"/>
        <w:rPr>
          <w:rFonts w:ascii="Arial" w:hAnsi="Arial" w:cs="Arial"/>
          <w:color w:val="000000" w:themeColor="text1"/>
        </w:rPr>
      </w:pPr>
    </w:p>
    <w:p w:rsidR="00DC1BCA" w:rsidRPr="00843D9D" w:rsidRDefault="00DC1BCA" w:rsidP="00DC1BCA">
      <w:pPr>
        <w:autoSpaceDE w:val="0"/>
        <w:autoSpaceDN w:val="0"/>
        <w:adjustRightInd w:val="0"/>
        <w:spacing w:line="360" w:lineRule="auto"/>
        <w:contextualSpacing/>
        <w:jc w:val="both"/>
        <w:rPr>
          <w:rFonts w:ascii="Arial" w:hAnsi="Arial" w:cs="Arial"/>
          <w:color w:val="000000" w:themeColor="text1"/>
        </w:rPr>
      </w:pPr>
      <w:r w:rsidRPr="00843D9D">
        <w:rPr>
          <w:rFonts w:ascii="Arial" w:hAnsi="Arial" w:cs="Arial"/>
          <w:noProof/>
          <w:color w:val="000000" w:themeColor="text1"/>
          <w:shd w:val="clear" w:color="auto" w:fill="70AD47" w:themeFill="accent6"/>
        </w:rPr>
        <w:drawing>
          <wp:inline distT="0" distB="0" distL="0" distR="0" wp14:anchorId="33F19E19" wp14:editId="574AF3AE">
            <wp:extent cx="5486400" cy="3200400"/>
            <wp:effectExtent l="0" t="0" r="12700" b="1270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1BCA" w:rsidRPr="00843D9D" w:rsidRDefault="00DC1BCA" w:rsidP="00DC1BCA">
      <w:pPr>
        <w:autoSpaceDE w:val="0"/>
        <w:autoSpaceDN w:val="0"/>
        <w:adjustRightInd w:val="0"/>
        <w:spacing w:line="360" w:lineRule="auto"/>
        <w:contextualSpacing/>
        <w:jc w:val="both"/>
        <w:rPr>
          <w:rFonts w:ascii="Arial" w:hAnsi="Arial" w:cs="Arial"/>
          <w:color w:val="000000" w:themeColor="text1"/>
        </w:rPr>
      </w:pPr>
    </w:p>
    <w:p w:rsidR="00B018FB" w:rsidRDefault="00B018FB" w:rsidP="00B018FB">
      <w:pPr>
        <w:autoSpaceDE w:val="0"/>
        <w:autoSpaceDN w:val="0"/>
        <w:adjustRightInd w:val="0"/>
        <w:spacing w:line="360" w:lineRule="auto"/>
        <w:contextualSpacing/>
        <w:jc w:val="both"/>
        <w:rPr>
          <w:rFonts w:ascii="Arial" w:hAnsi="Arial" w:cs="Arial"/>
        </w:rPr>
      </w:pPr>
    </w:p>
    <w:p w:rsidR="00B018FB" w:rsidRPr="003B1FCE" w:rsidRDefault="00B018FB" w:rsidP="001A6622">
      <w:pPr>
        <w:autoSpaceDE w:val="0"/>
        <w:autoSpaceDN w:val="0"/>
        <w:adjustRightInd w:val="0"/>
        <w:spacing w:line="360" w:lineRule="auto"/>
        <w:jc w:val="both"/>
        <w:rPr>
          <w:rFonts w:ascii="Arial" w:hAnsi="Arial" w:cs="Arial"/>
          <w:color w:val="000000" w:themeColor="text1"/>
        </w:rPr>
      </w:pPr>
    </w:p>
    <w:p w:rsidR="001A6622" w:rsidRPr="003B1FCE" w:rsidRDefault="001A6622" w:rsidP="001A6622">
      <w:pPr>
        <w:autoSpaceDE w:val="0"/>
        <w:autoSpaceDN w:val="0"/>
        <w:adjustRightInd w:val="0"/>
        <w:spacing w:line="360" w:lineRule="auto"/>
        <w:jc w:val="both"/>
        <w:rPr>
          <w:rFonts w:ascii="Arial" w:hAnsi="Arial" w:cs="Arial"/>
          <w:color w:val="000000" w:themeColor="text1"/>
        </w:rPr>
      </w:pPr>
    </w:p>
    <w:p w:rsidR="00443C3B" w:rsidRPr="003B1FCE" w:rsidRDefault="00443C3B" w:rsidP="00443C3B">
      <w:pPr>
        <w:contextualSpacing/>
        <w:rPr>
          <w:rFonts w:ascii="Arial" w:hAnsi="Arial" w:cs="Arial"/>
          <w:color w:val="000000" w:themeColor="text1"/>
        </w:rPr>
      </w:pPr>
      <w:r w:rsidRPr="003B1FCE">
        <w:rPr>
          <w:rFonts w:ascii="Arial" w:hAnsi="Arial" w:cs="Arial"/>
          <w:color w:val="000000" w:themeColor="text1"/>
        </w:rPr>
        <w:br w:type="page"/>
      </w:r>
    </w:p>
    <w:p w:rsidR="00443C3B" w:rsidRPr="003B1FCE" w:rsidRDefault="00443C3B" w:rsidP="00443C3B">
      <w:pPr>
        <w:pStyle w:val="Ttulo1"/>
        <w:contextualSpacing/>
        <w:jc w:val="center"/>
        <w:rPr>
          <w:rFonts w:ascii="Arial" w:hAnsi="Arial" w:cs="Arial"/>
          <w:b/>
          <w:color w:val="auto"/>
          <w:sz w:val="24"/>
        </w:rPr>
      </w:pPr>
      <w:bookmarkStart w:id="5" w:name="_Toc23252961"/>
      <w:bookmarkStart w:id="6" w:name="_Toc26913248"/>
      <w:r w:rsidRPr="003B1FCE">
        <w:rPr>
          <w:rFonts w:ascii="Arial" w:hAnsi="Arial" w:cs="Arial"/>
          <w:b/>
          <w:color w:val="auto"/>
          <w:sz w:val="24"/>
        </w:rPr>
        <w:lastRenderedPageBreak/>
        <w:t>SÍNTESIS DE LOS ARTÍCULOS DE LAS OBLIGACIONES DE TRANSPARENCIA ANALIZADOS</w:t>
      </w:r>
      <w:bookmarkEnd w:id="5"/>
      <w:bookmarkEnd w:id="6"/>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pStyle w:val="Ttulo2"/>
        <w:contextualSpacing/>
        <w:rPr>
          <w:rFonts w:ascii="Arial" w:hAnsi="Arial" w:cs="Arial"/>
          <w:b/>
        </w:rPr>
      </w:pPr>
      <w:bookmarkStart w:id="7" w:name="_Toc23252962"/>
      <w:bookmarkStart w:id="8" w:name="_Toc26913249"/>
      <w:r w:rsidRPr="003B1FCE">
        <w:rPr>
          <w:rFonts w:ascii="Arial" w:hAnsi="Arial" w:cs="Arial"/>
          <w:b/>
          <w:color w:val="auto"/>
          <w:sz w:val="24"/>
        </w:rPr>
        <w:t>Obligaciones Comunes de la Ley local de Transparencia</w:t>
      </w:r>
      <w:bookmarkEnd w:id="7"/>
      <w:bookmarkEnd w:id="8"/>
    </w:p>
    <w:p w:rsidR="00443C3B" w:rsidRPr="003B1FCE" w:rsidRDefault="00443C3B" w:rsidP="00443C3B">
      <w:pPr>
        <w:autoSpaceDE w:val="0"/>
        <w:autoSpaceDN w:val="0"/>
        <w:adjustRightInd w:val="0"/>
        <w:spacing w:line="360" w:lineRule="auto"/>
        <w:contextualSpacing/>
        <w:jc w:val="both"/>
        <w:rPr>
          <w:rFonts w:ascii="Arial" w:hAnsi="Arial" w:cs="Arial"/>
          <w:b/>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t xml:space="preserve">Las obligaciones comunes son aquellas que le son aplicables a todos los sujetos obligados, sin importar su naturaleza; debido a que refieren información que todo sujeto obligado genera, posee, utiliza y resguarda. </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t xml:space="preserve">El artículo 121 de la ley local de transparencia se integra por 54 fracciones, en las que se mandata la publicación de información como el marco normativo, estructura orgánica, facultades y funciones de cada área, metas y objetivos de las áreas, indicadores, programas operativos anuales, el directorio, la remuneración de los servidores públicos, el número total de plazas y tipo de estas, las contrataciones por servicios profesionales, las declaraciones patrimoniales, domicilio de la unidad de transparencia, información de las personas servidoras públicas con sanciones administrativas, información financiera sobre el presupuesto asignado, dictámenes de cuenta pública, los contratos y convenios celebrados, información sobre los procedimientos de adjudicación directa, invitación restringida y licitaciones; entre otros. </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t xml:space="preserve">El artículo 122 de la misma ley se integra por </w:t>
      </w:r>
      <w:r w:rsidR="00D71D7B">
        <w:rPr>
          <w:rFonts w:ascii="Arial" w:hAnsi="Arial" w:cs="Arial"/>
        </w:rPr>
        <w:t>tres</w:t>
      </w:r>
      <w:r w:rsidRPr="003B1FCE">
        <w:rPr>
          <w:rFonts w:ascii="Arial" w:hAnsi="Arial" w:cs="Arial"/>
        </w:rPr>
        <w:t xml:space="preserve"> fracciones en las cuales se señala la obligación de publicar información en materia de programas sociales, de ayuda, subsidios, estímulos y apoyos. </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pStyle w:val="Ttulo2"/>
        <w:contextualSpacing/>
        <w:rPr>
          <w:rFonts w:ascii="Arial" w:hAnsi="Arial" w:cs="Arial"/>
          <w:b/>
          <w:color w:val="auto"/>
          <w:sz w:val="24"/>
        </w:rPr>
      </w:pPr>
      <w:bookmarkStart w:id="9" w:name="_Toc23252963"/>
      <w:bookmarkStart w:id="10" w:name="_Toc26913250"/>
      <w:r w:rsidRPr="003B1FCE">
        <w:rPr>
          <w:rFonts w:ascii="Arial" w:hAnsi="Arial" w:cs="Arial"/>
          <w:b/>
          <w:color w:val="auto"/>
          <w:sz w:val="24"/>
        </w:rPr>
        <w:t>Obligaciones Específicas de la Ley local de Transparencia</w:t>
      </w:r>
      <w:bookmarkEnd w:id="9"/>
      <w:bookmarkEnd w:id="10"/>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t>Las obligaciones específicas se integran por trece secciones y hacen referencia a la información que, dependiendo de la naturaleza de cada sujeto obligado, debe generar, poseer, utilizar y resguardar.</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t>La sección primera se integra por el artículo 123</w:t>
      </w:r>
      <w:r w:rsidRPr="003B1FCE">
        <w:rPr>
          <w:rStyle w:val="Refdenotaalpie"/>
          <w:rFonts w:ascii="Arial" w:hAnsi="Arial" w:cs="Arial"/>
        </w:rPr>
        <w:footnoteReference w:id="3"/>
      </w:r>
      <w:r w:rsidRPr="003B1FCE">
        <w:rPr>
          <w:rFonts w:ascii="Arial" w:hAnsi="Arial" w:cs="Arial"/>
        </w:rPr>
        <w:t xml:space="preserve"> y hace referencia a las obligaciones del Poder Ejecutivo; en ella se contemplan obligaciones consistentes en publicar las iniciativas de leyes o demás decretos en materia administrativa, el Programa General de Desarrollo de la Ciudad de México, el Presupuesto de Egresos y las fórmulas de distribución, el listado de expropiaciones decretadas y ejecutadas, el listado de patentes de corredores y notarios públicos, información detallada que contengan los planes de desarrollo urbano, reglamentos de leyes expedidos, los usos de suelo a través de mapas y planos, información sobre la calidad del agua, manifestaciones de impacto ambiental y estudios de la calidad del aire. </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t xml:space="preserve">La sección segunda se conforma por el artículo 124 y hace referencia a los órganos político administrativos, alcaldías o demarcaciones territoriales; en esta sección se contemplan obligaciones consistentes en publicar los indicadores oficiales de los servicios públicos, el calendario con las actividades culturales, deportivas y recreativas, el calendario trimestral sobre el ejercicio del presupuesto, los programas de ayudas y subsidios, los gastos realizados por concepto de asesorías, el padrón de contralores ciudadanos, información respecto a la recolección de basura, el programa de Seguridad Pública, entre otros. </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t xml:space="preserve">La tercera sección se integra por el artículo 125 y hace referencia al Poder Legislativo; en esta se contemplan las obligaciones consistentes en publicar la ficha técnica por cada Diputado y Diputada, la agenda legislativa, gaceta parlamentaria, el orden del día de las Sesiones del Pleno, el Diario de Debates, las versiones estenográficas, las leyes, decretos y acuerdo aprobados, solicitudes de licencias, contrataciones de asesorías y servicios personales, el informe anual del gasto, el </w:t>
      </w:r>
      <w:r w:rsidRPr="003B1FCE">
        <w:rPr>
          <w:rFonts w:ascii="Arial" w:hAnsi="Arial" w:cs="Arial"/>
        </w:rPr>
        <w:lastRenderedPageBreak/>
        <w:t xml:space="preserve">padrón de cabilderos, la lista de los integrantes del Comité de Adquisiciones, la descripción general del poder legislativo, entre otros. </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t>La sección cuarta versa sobre las obligaciones del Poder Judicial en materia de transparencia, y se integra por las disposiciones del artículo 126, apartado primero, que refiere las obligaciones del Tribunal Superior de Justicia y al Tribunal Contencioso Administrativo de la Ciudad de México y, apartado segundo, que contempla al Consejo de la Judicatura de la Ciudad de México. La información que se mandata publicar incluye la versión estenográfica de las Sesiones del Pleno, votación de los acuerdos sometidos a consideración del Pleno, estadística judicial, las resoluciones y expedientes judiciales y administrativos, carrera judicial, convocatorias, registro de aspirante</w:t>
      </w:r>
      <w:r w:rsidR="00D71D7B">
        <w:rPr>
          <w:rFonts w:ascii="Arial" w:hAnsi="Arial" w:cs="Arial"/>
        </w:rPr>
        <w:t>s</w:t>
      </w:r>
      <w:r w:rsidRPr="003B1FCE">
        <w:rPr>
          <w:rFonts w:ascii="Arial" w:hAnsi="Arial" w:cs="Arial"/>
        </w:rPr>
        <w:t>, inventario de los bienes muebles, el boletín judicial, las versiones públicas de la</w:t>
      </w:r>
      <w:r w:rsidR="00A84315" w:rsidRPr="003B1FCE">
        <w:rPr>
          <w:rFonts w:ascii="Arial" w:hAnsi="Arial" w:cs="Arial"/>
        </w:rPr>
        <w:t>s</w:t>
      </w:r>
      <w:r w:rsidRPr="003B1FCE">
        <w:rPr>
          <w:rFonts w:ascii="Arial" w:hAnsi="Arial" w:cs="Arial"/>
        </w:rPr>
        <w:t xml:space="preserve"> sentencias, entre otros. </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t xml:space="preserve">La sección quinta se integra por el artículo 127 y refiere a la Auditoría Superior de la Ciudad de México, las obligaciones que contempla se refieren al Programa General de Auditoría, los resultados de las auditorías concluidas al ejercicio presupuestal, el avance trimestral en la ejecución de su programa general de auditoría, la información relativa a las </w:t>
      </w:r>
      <w:proofErr w:type="spellStart"/>
      <w:r w:rsidRPr="003B1FCE">
        <w:rPr>
          <w:rFonts w:ascii="Arial" w:hAnsi="Arial" w:cs="Arial"/>
        </w:rPr>
        <w:t>solventaciones</w:t>
      </w:r>
      <w:proofErr w:type="spellEnd"/>
      <w:r w:rsidRPr="003B1FCE">
        <w:rPr>
          <w:rFonts w:ascii="Arial" w:hAnsi="Arial" w:cs="Arial"/>
        </w:rPr>
        <w:t xml:space="preserve"> o aclaraciones de los resultados derivados de las auditorías concluidas, entre otros.</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t>La sección sexta se integra por las disposiciones del artículo 128, que hace referencia a las autoridades electorales, y contempla los listados de partidos políticos, asociaciones y agrupaciones políticas, la geografía y cartografía electoral, el registro de candidatos a cargos de elección popular, los montos de financiamiento público por actividades ordinarias, de campaña y específicas, informes entregados a la autoridad electoral sobre el origen, monto y destino de los recursos, los resultados y declaraciones de validez de las elecciones, la información detallada de su estado financiero del uso y manejo de su presupuesto, entre otros.</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t xml:space="preserve">La séptima sección se integra por las disposiciones contempladas en los artículos 129, 130 y 131. El artículo 129 refiere a las organizaciones políticas, y contempla el padrón de afiliados o militantes de los partidos políticos, los acuerdos y resoluciones de los órganos de dirección de los partidos políticos, los convenios de participación entre partidos políticos con organizaciones de la sociedad civil, los montos de las cuotas ordinarias y extraordinarias aportadas por sus militantes así como también los montos autorizados de financiamiento privado, el tabulador de remuneraciones que perciben los integrantes de los órganos y de los demás funcionarios partidistas, informes sobre el gasto del financiamiento público ordinario, entre otros. Por su parte, el artículo 130 menciona que los partidos políticos deberán mantener actualizada la información que se detalle en la legislación electoral local vigente. El artículo 131 menciona que, en caso de que los partidos políticos, las agrupaciones políticas y las personas morales constituidas en asociación civil que pretendan postular su candidatura independiente incumplan con las obligaciones establecidas en los artículos anteriormente referidos, el Instituto dará vista al órgano electoral local para que determine las acciones o sanciones procedentes. </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t xml:space="preserve">La sección octava se basa en el artículo 132, el cual refiere a la Comisión de Derechos Humanos; se mandata en ese artículo la publicación del listado y versiones públicas de las recomendaciones emitidas, las quejas y denuncias e impugnaciones concluidas, estadísticas sobre las quejas presentadas, acuerdos de conciliación, listado de medidas precautorias, toda información con la que cuente relacionada con hechos constitutivos de violaciones graves a los derechos humanos, información de acciones y resultados respecto de la defensa, promoción y protección de los derechos humanos, estado que guardan los derechos humanos en el sistema penitenciario, entre otros. </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lastRenderedPageBreak/>
        <w:t>La sección novena se conforma por las disposiciones del artículo 133 y hace referencia al Instituto de Transparencia, Acceso a la Información Pública, Protección de Datos Personales y Rendición de Cuentas de la Ciudad de México. En esta sección se contempla que, además de lo señalado en las obligaciones de transparencia comunes, el Instituto deberá poner a disposición del público información referente a la relación de observaciones y resoluciones emitidas y el seguimiento a cada una de ellas, los criterios orientadores que deriven de sus resoluciones, estadísticas e indicadores sobre los medios de impugnación, los estudios que apoyan la resolución de los recursos de revisión, estadísticas sobre las solicitudes de información y datos personales, los resultados de la evaluación del cumplimiento de la Ley a los sujetos obligados, número de quejas, denuncias y recursos de revisión dirigidos a cada uno de los sujetos obligados, entre otros elementos.</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t xml:space="preserve">La sección décima se integra con los elementos previstos por el artículo 134, mismo que refiere a la Universidad Autónoma de la Ciudad de México. En esta sección se mandata la publicación de los planes y programas de estudio, los procedimientos de admisión, indicadores de resultados, lista de profesores con licencia, remuneración de los profesores, listados de becas y apoyos, evaluación del cuerpo docente, calendario del ciclo escolar, entre otros aspectos. </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t xml:space="preserve">La sección decimoprimera se conforma por las disposiciones previstas en los artículos 135 y 136, los cuales refieren a los Fideicomisos, Fondos Públicos y otros análogos. En el 135 se contempla el nombre de la persona servidora pública y de la persona física o moral que represente al fideicomitente, al fiduciario y al fideicomisario, la unidad administrativa responsable del fideicomiso, monto total, el uso y destino del patrimonio </w:t>
      </w:r>
      <w:proofErr w:type="spellStart"/>
      <w:r w:rsidRPr="003B1FCE">
        <w:rPr>
          <w:rFonts w:ascii="Arial" w:hAnsi="Arial" w:cs="Arial"/>
        </w:rPr>
        <w:t>fideicomitido</w:t>
      </w:r>
      <w:proofErr w:type="spellEnd"/>
      <w:r w:rsidRPr="003B1FCE">
        <w:rPr>
          <w:rFonts w:ascii="Arial" w:hAnsi="Arial" w:cs="Arial"/>
        </w:rPr>
        <w:t xml:space="preserve">, el padrón de beneficiarios en su caso, los contratos de obras, adquisiciones y servicios que involucren recursos públicos de fideicomiso, reglas de operación y normatividad interna del fideicomiso o fondo </w:t>
      </w:r>
      <w:r w:rsidRPr="003B1FCE">
        <w:rPr>
          <w:rFonts w:ascii="Arial" w:hAnsi="Arial" w:cs="Arial"/>
        </w:rPr>
        <w:lastRenderedPageBreak/>
        <w:t>público, impacto social derivado del cumplimiento de las acciones que realiza el fideicomiso o fondo público, entre otros. Por otra parte, el artículo 136 indica que con relación a los contratos de mandato y otros actos jurídicos con los cuales los sujetos obligados otorguen representación jurídica, los sujetos obligados deberán mantener actualizada y para su consulta directa, cualquier tipo de instrucciones que el mandante exprese al mandatario o cualquier tipo de instrucciones relacionadas con el ejercicio de la facultad de representar, otorgada mediante otro acto jurídico.</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t xml:space="preserve">La sección decimosegunda se conforma por el artículo 137 y hace referencia a la Junta Local de Conciliación y Arbitraje, en ésta se contemplan obligaciones consistentes en publicar la relación de contratos colectivos de trabajo, los documentos de registro de los sindicatos. </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t xml:space="preserve">La sección decimotercera hace referencia a los Sindicatos y se integra por las disposiciones previstas en el artículo 138, el cual mandata la publicación de los contratos y convenios entre sindicatos y autoridades, el directorio del Comité Ejecutivo, el padrón de socios o agremiados y la relación detallada de los servicios de los recursos públicos económicos, en especie, bienes o donativos que reciban y el informe detallado del ejercicio y destino final de los recursos públicos que ejerzan. </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pStyle w:val="Ttulo2"/>
        <w:contextualSpacing/>
        <w:rPr>
          <w:rFonts w:ascii="Arial" w:hAnsi="Arial" w:cs="Arial"/>
          <w:b/>
          <w:color w:val="auto"/>
          <w:sz w:val="24"/>
        </w:rPr>
      </w:pPr>
      <w:bookmarkStart w:id="11" w:name="_Toc23252964"/>
      <w:bookmarkStart w:id="12" w:name="_Toc26913251"/>
      <w:r w:rsidRPr="003B1FCE">
        <w:rPr>
          <w:rFonts w:ascii="Arial" w:hAnsi="Arial" w:cs="Arial"/>
          <w:b/>
          <w:color w:val="auto"/>
          <w:sz w:val="24"/>
        </w:rPr>
        <w:t>Disposiciones Particulares de la Ley local de Transparencia</w:t>
      </w:r>
      <w:bookmarkEnd w:id="11"/>
      <w:bookmarkEnd w:id="12"/>
    </w:p>
    <w:p w:rsidR="00443C3B" w:rsidRPr="003B1FCE" w:rsidRDefault="00443C3B" w:rsidP="00443C3B">
      <w:pPr>
        <w:autoSpaceDE w:val="0"/>
        <w:autoSpaceDN w:val="0"/>
        <w:adjustRightInd w:val="0"/>
        <w:spacing w:line="360" w:lineRule="auto"/>
        <w:contextualSpacing/>
        <w:jc w:val="both"/>
        <w:rPr>
          <w:rFonts w:ascii="Arial" w:hAnsi="Arial" w:cs="Arial"/>
          <w:b/>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t xml:space="preserve">Las disposiciones particulares son aquellas obligaciones que hacen referencia a la publicación de información complementaria a las obligaciones comunes y específicas. Estas disposiciones se integran por los preceptos contemplados en los siguientes artículos de la norma referida: </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lastRenderedPageBreak/>
        <w:t xml:space="preserve">Artículos 141 y 142, que hacen referencia a los resultados de las convocatorias a concurso o licitación de obras públicas, adquisiciones, arrendamientos, concesiones y prestación de servicios. </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t xml:space="preserve">Artículo 143, el cual versa sobre la información que brinden los sujetos obligados, en relación con la ejecución de obra pública por invitación restringida. </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t>Artículo 144, el cual mandata que toda la información sea publicada en formatos abiertos y accesibles.</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t>Artículo 145, que establece que todos los sujetos obligados deberán tener un acceso directo dentro de su Portal Institucional a sus obligaciones de transparencia.</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t xml:space="preserve">Artículo 146, el cual mandata la publicación de su calendario de actualización de las obligaciones de transparencia. </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autoSpaceDE w:val="0"/>
        <w:autoSpaceDN w:val="0"/>
        <w:adjustRightInd w:val="0"/>
        <w:spacing w:line="360" w:lineRule="auto"/>
        <w:contextualSpacing/>
        <w:jc w:val="both"/>
        <w:rPr>
          <w:rFonts w:ascii="Arial" w:hAnsi="Arial" w:cs="Arial"/>
        </w:rPr>
      </w:pPr>
      <w:r w:rsidRPr="003B1FCE">
        <w:rPr>
          <w:rFonts w:ascii="Arial" w:hAnsi="Arial" w:cs="Arial"/>
        </w:rPr>
        <w:t>Artículo 147, que señala que toda persona moral, organizaciones de la sociedad civil o sindicato que reciba recursos públicos deberá proporcionar a los sujetos obligados de los que reciban la información relativa al uso, destino y actividades que realicen con tales recursos.</w:t>
      </w:r>
    </w:p>
    <w:p w:rsidR="00443C3B" w:rsidRPr="003B1FCE" w:rsidRDefault="00443C3B" w:rsidP="00443C3B">
      <w:pPr>
        <w:autoSpaceDE w:val="0"/>
        <w:autoSpaceDN w:val="0"/>
        <w:adjustRightInd w:val="0"/>
        <w:spacing w:line="360" w:lineRule="auto"/>
        <w:contextualSpacing/>
        <w:jc w:val="both"/>
        <w:rPr>
          <w:rFonts w:ascii="Arial" w:hAnsi="Arial" w:cs="Arial"/>
        </w:rPr>
      </w:pPr>
    </w:p>
    <w:p w:rsidR="00443C3B" w:rsidRPr="003B1FCE" w:rsidRDefault="00443C3B" w:rsidP="00443C3B">
      <w:pPr>
        <w:spacing w:after="160" w:line="259" w:lineRule="auto"/>
        <w:rPr>
          <w:rFonts w:ascii="Arial" w:eastAsiaTheme="majorEastAsia" w:hAnsi="Arial" w:cs="Arial"/>
          <w:b/>
          <w:szCs w:val="32"/>
          <w:lang w:eastAsia="en-US"/>
        </w:rPr>
      </w:pPr>
      <w:r w:rsidRPr="003B1FCE">
        <w:rPr>
          <w:rFonts w:ascii="Arial" w:hAnsi="Arial" w:cs="Arial"/>
          <w:b/>
        </w:rPr>
        <w:br w:type="page"/>
      </w:r>
    </w:p>
    <w:p w:rsidR="00443C3B" w:rsidRPr="003B1FCE" w:rsidRDefault="00443C3B" w:rsidP="001A6622">
      <w:pPr>
        <w:contextualSpacing/>
      </w:pPr>
    </w:p>
    <w:p w:rsidR="001A6622" w:rsidRPr="003B1FCE" w:rsidRDefault="001A6622" w:rsidP="00FF7BD9">
      <w:pPr>
        <w:pStyle w:val="Ttulo1"/>
        <w:contextualSpacing/>
        <w:rPr>
          <w:rFonts w:ascii="Arial" w:hAnsi="Arial" w:cs="Arial"/>
          <w:b/>
          <w:color w:val="000000" w:themeColor="text1"/>
          <w:sz w:val="24"/>
          <w:szCs w:val="24"/>
        </w:rPr>
      </w:pPr>
      <w:bookmarkStart w:id="13" w:name="_Toc26913252"/>
      <w:r w:rsidRPr="003B1FCE">
        <w:rPr>
          <w:rFonts w:ascii="Arial" w:hAnsi="Arial" w:cs="Arial"/>
          <w:b/>
          <w:color w:val="000000" w:themeColor="text1"/>
          <w:sz w:val="24"/>
          <w:szCs w:val="24"/>
        </w:rPr>
        <w:t>PODER EJECUTIVO – ADMINISTRACIÓN CENTRAL</w:t>
      </w:r>
      <w:bookmarkEnd w:id="13"/>
    </w:p>
    <w:p w:rsidR="001A6622" w:rsidRPr="003B1FCE" w:rsidRDefault="001A6622" w:rsidP="001A6622">
      <w:pPr>
        <w:contextualSpacing/>
        <w:rPr>
          <w:rFonts w:ascii="Arial" w:hAnsi="Arial" w:cs="Arial"/>
          <w:color w:val="000000" w:themeColor="text1"/>
        </w:rPr>
      </w:pPr>
    </w:p>
    <w:p w:rsidR="001A6622" w:rsidRPr="003B1FCE" w:rsidRDefault="001A6622" w:rsidP="001A6622">
      <w:pPr>
        <w:spacing w:before="100" w:beforeAutospacing="1" w:after="100" w:afterAutospacing="1" w:line="360" w:lineRule="auto"/>
        <w:contextualSpacing/>
        <w:jc w:val="both"/>
        <w:rPr>
          <w:rFonts w:ascii="Arial" w:eastAsia="Symbol" w:hAnsi="Arial" w:cs="Arial"/>
          <w:color w:val="000000" w:themeColor="text1"/>
        </w:rPr>
      </w:pPr>
      <w:r w:rsidRPr="003B1FCE">
        <w:rPr>
          <w:rFonts w:ascii="Arial" w:hAnsi="Arial" w:cs="Arial"/>
          <w:color w:val="000000" w:themeColor="text1"/>
        </w:rPr>
        <w:t>El ámbito del Poder Ejecutivo – Administración Central está integrado por 23 sujetos obligados, de conformidad con el Padrón de sujetos obligados supeditados al cumplimiento de la Ley de Transparencia, Acceso a la Información Pública y Rendición de Cuentas de la Ciudad de México</w:t>
      </w:r>
      <w:r w:rsidRPr="003B1FCE" w:rsidDel="005B5D1B">
        <w:rPr>
          <w:rFonts w:ascii="Arial" w:hAnsi="Arial" w:cs="Arial"/>
          <w:color w:val="000000" w:themeColor="text1"/>
        </w:rPr>
        <w:t xml:space="preserve"> </w:t>
      </w:r>
      <w:r w:rsidRPr="003B1FCE">
        <w:rPr>
          <w:rFonts w:ascii="Arial" w:hAnsi="Arial" w:cs="Arial"/>
          <w:color w:val="000000" w:themeColor="text1"/>
        </w:rPr>
        <w:t>y de la Ley de Protección de Datos Personales en Posesión de los sujetos obligados de la Ciudad de México vigente al 31 de diciembre de 2018. De los siete sujetos obligados que integran el Padrón, seis sujetos obligados fueron evaluados debido a que el Tribunal de Justicia Administrativa</w:t>
      </w:r>
      <w:r w:rsidRPr="003B1FCE">
        <w:rPr>
          <w:rFonts w:ascii="Arial" w:eastAsia="Symbol" w:hAnsi="Arial" w:cs="Arial"/>
          <w:color w:val="000000" w:themeColor="text1"/>
        </w:rPr>
        <w:t xml:space="preserve"> de la Ciudad de México</w:t>
      </w:r>
      <w:r w:rsidRPr="003B1FCE">
        <w:rPr>
          <w:rFonts w:ascii="Arial" w:hAnsi="Arial" w:cs="Arial"/>
          <w:color w:val="000000" w:themeColor="text1"/>
        </w:rPr>
        <w:t xml:space="preserve"> obtuvo un cumplimiento total del piso mínimo contemplado en la Ley de Transparencia Local en la Primera Evaluación Vinculante 2019. De los 23 sujetos obligados que integran el Padrón, 23 sujetos obligados fueron evaluados debido a que la Secretaría de Desarrollo Social y la Secretaría de Finanzas obtuvieron un cumplimiento total del piso mínimo contemplado en la Ley de Transparencia Local en la Primera Evaluación Vinculante 2019. </w:t>
      </w: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r w:rsidRPr="003B1FCE">
        <w:rPr>
          <w:rFonts w:ascii="Arial" w:hAnsi="Arial" w:cs="Arial"/>
          <w:color w:val="000000" w:themeColor="text1"/>
        </w:rPr>
        <w:t xml:space="preserve">Los sujetos obligados, así como su Índice de Cumplimiento de obligaciones de transparencia del Portal de Internet (IGOT-PI), el de la Plataforma Nacional de Transparencia (IGOT-PNT) y el Índice General de Cumplimiento de obligaciones de transparencia (IGOT) se presentan en la siguiente tabla, ordenados de forma descendente, respecto del IGOT: </w:t>
      </w: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p>
    <w:tbl>
      <w:tblPr>
        <w:tblW w:w="8926" w:type="dxa"/>
        <w:tblCellMar>
          <w:left w:w="70" w:type="dxa"/>
          <w:right w:w="70" w:type="dxa"/>
        </w:tblCellMar>
        <w:tblLook w:val="04A0" w:firstRow="1" w:lastRow="0" w:firstColumn="1" w:lastColumn="0" w:noHBand="0" w:noVBand="1"/>
      </w:tblPr>
      <w:tblGrid>
        <w:gridCol w:w="529"/>
        <w:gridCol w:w="5136"/>
        <w:gridCol w:w="1123"/>
        <w:gridCol w:w="1263"/>
        <w:gridCol w:w="875"/>
      </w:tblGrid>
      <w:tr w:rsidR="001A6622" w:rsidRPr="003B1FCE" w:rsidTr="00B018FB">
        <w:trPr>
          <w:trHeight w:val="860"/>
          <w:tblHeader/>
        </w:trPr>
        <w:tc>
          <w:tcPr>
            <w:tcW w:w="8926" w:type="dxa"/>
            <w:gridSpan w:val="5"/>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1A6622" w:rsidRPr="003B1FCE" w:rsidRDefault="001A6622" w:rsidP="00FF7BD9">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Resultados de la Tercera Evaluación Vinculante 2019, respecto de las recomendaciones y observaciones de la Primera Evaluación Vinculante 2019</w:t>
            </w:r>
          </w:p>
        </w:tc>
      </w:tr>
      <w:tr w:rsidR="001A6622" w:rsidRPr="003B1FCE" w:rsidTr="00B018FB">
        <w:trPr>
          <w:trHeight w:val="340"/>
          <w:tblHeader/>
        </w:trPr>
        <w:tc>
          <w:tcPr>
            <w:tcW w:w="529" w:type="dxa"/>
            <w:tcBorders>
              <w:top w:val="nil"/>
              <w:left w:val="single" w:sz="4" w:space="0" w:color="auto"/>
              <w:bottom w:val="single" w:sz="4" w:space="0" w:color="auto"/>
              <w:right w:val="single" w:sz="4" w:space="0" w:color="auto"/>
            </w:tcBorders>
            <w:shd w:val="clear" w:color="auto" w:fill="ED7D31" w:themeFill="accent2"/>
            <w:vAlign w:val="center"/>
            <w:hideMark/>
          </w:tcPr>
          <w:p w:rsidR="001A6622" w:rsidRPr="003B1FCE" w:rsidRDefault="001A6622" w:rsidP="00FF7BD9">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No.</w:t>
            </w:r>
          </w:p>
        </w:tc>
        <w:tc>
          <w:tcPr>
            <w:tcW w:w="5136" w:type="dxa"/>
            <w:tcBorders>
              <w:top w:val="nil"/>
              <w:left w:val="nil"/>
              <w:bottom w:val="single" w:sz="4" w:space="0" w:color="auto"/>
              <w:right w:val="single" w:sz="4" w:space="0" w:color="auto"/>
            </w:tcBorders>
            <w:shd w:val="clear" w:color="auto" w:fill="ED7D31" w:themeFill="accent2"/>
            <w:vAlign w:val="center"/>
            <w:hideMark/>
          </w:tcPr>
          <w:p w:rsidR="001A6622" w:rsidRPr="003B1FCE" w:rsidRDefault="001A6622" w:rsidP="00FF7BD9">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Sujeto obligado</w:t>
            </w:r>
          </w:p>
        </w:tc>
        <w:tc>
          <w:tcPr>
            <w:tcW w:w="1123" w:type="dxa"/>
            <w:tcBorders>
              <w:top w:val="nil"/>
              <w:left w:val="nil"/>
              <w:bottom w:val="single" w:sz="4" w:space="0" w:color="auto"/>
              <w:right w:val="single" w:sz="4" w:space="0" w:color="auto"/>
            </w:tcBorders>
            <w:shd w:val="clear" w:color="auto" w:fill="ED7D31" w:themeFill="accent2"/>
            <w:vAlign w:val="center"/>
            <w:hideMark/>
          </w:tcPr>
          <w:p w:rsidR="001A6622" w:rsidRPr="003B1FCE" w:rsidRDefault="001A6622" w:rsidP="00FF7BD9">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ICOT-PI</w:t>
            </w:r>
          </w:p>
        </w:tc>
        <w:tc>
          <w:tcPr>
            <w:tcW w:w="1263" w:type="dxa"/>
            <w:tcBorders>
              <w:top w:val="nil"/>
              <w:left w:val="nil"/>
              <w:bottom w:val="single" w:sz="4" w:space="0" w:color="auto"/>
              <w:right w:val="single" w:sz="4" w:space="0" w:color="auto"/>
            </w:tcBorders>
            <w:shd w:val="clear" w:color="auto" w:fill="ED7D31" w:themeFill="accent2"/>
            <w:vAlign w:val="center"/>
            <w:hideMark/>
          </w:tcPr>
          <w:p w:rsidR="001A6622" w:rsidRPr="003B1FCE" w:rsidRDefault="001A6622" w:rsidP="00FF7BD9">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ICOT-PNT</w:t>
            </w:r>
          </w:p>
        </w:tc>
        <w:tc>
          <w:tcPr>
            <w:tcW w:w="875" w:type="dxa"/>
            <w:tcBorders>
              <w:top w:val="nil"/>
              <w:left w:val="nil"/>
              <w:bottom w:val="single" w:sz="4" w:space="0" w:color="auto"/>
              <w:right w:val="single" w:sz="4" w:space="0" w:color="auto"/>
            </w:tcBorders>
            <w:shd w:val="clear" w:color="auto" w:fill="ED7D31" w:themeFill="accent2"/>
            <w:vAlign w:val="center"/>
            <w:hideMark/>
          </w:tcPr>
          <w:p w:rsidR="001A6622" w:rsidRPr="003B1FCE" w:rsidRDefault="001A6622" w:rsidP="00FF7BD9">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IGOT</w:t>
            </w:r>
          </w:p>
        </w:tc>
      </w:tr>
      <w:tr w:rsidR="001A6622" w:rsidRPr="003B1FCE" w:rsidTr="00FF7BD9">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w:t>
            </w:r>
          </w:p>
        </w:tc>
        <w:tc>
          <w:tcPr>
            <w:tcW w:w="5136"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Jefatura de Gobierno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r>
      <w:tr w:rsidR="001A6622" w:rsidRPr="003B1FCE" w:rsidTr="00FF7BD9">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2</w:t>
            </w:r>
          </w:p>
        </w:tc>
        <w:tc>
          <w:tcPr>
            <w:tcW w:w="5136"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Educación</w:t>
            </w:r>
          </w:p>
        </w:tc>
        <w:tc>
          <w:tcPr>
            <w:tcW w:w="112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r>
      <w:tr w:rsidR="001A6622" w:rsidRPr="003B1FCE" w:rsidTr="00FF7BD9">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lastRenderedPageBreak/>
              <w:t>3</w:t>
            </w:r>
          </w:p>
        </w:tc>
        <w:tc>
          <w:tcPr>
            <w:tcW w:w="5136"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Contraloría General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r>
      <w:tr w:rsidR="001A6622" w:rsidRPr="003B1FCE" w:rsidTr="00FF7BD9">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4</w:t>
            </w:r>
          </w:p>
        </w:tc>
        <w:tc>
          <w:tcPr>
            <w:tcW w:w="5136"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Desarrollo Económico</w:t>
            </w:r>
          </w:p>
        </w:tc>
        <w:tc>
          <w:tcPr>
            <w:tcW w:w="112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r>
      <w:tr w:rsidR="001A6622" w:rsidRPr="003B1FCE" w:rsidTr="00FF7BD9">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5</w:t>
            </w:r>
          </w:p>
        </w:tc>
        <w:tc>
          <w:tcPr>
            <w:tcW w:w="5136"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Movilidad</w:t>
            </w:r>
          </w:p>
        </w:tc>
        <w:tc>
          <w:tcPr>
            <w:tcW w:w="112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r>
      <w:tr w:rsidR="001A6622" w:rsidRPr="003B1FCE" w:rsidTr="00FF7BD9">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6</w:t>
            </w:r>
          </w:p>
        </w:tc>
        <w:tc>
          <w:tcPr>
            <w:tcW w:w="5136"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Seguridad Pública</w:t>
            </w:r>
          </w:p>
        </w:tc>
        <w:tc>
          <w:tcPr>
            <w:tcW w:w="112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r>
      <w:tr w:rsidR="001A6622" w:rsidRPr="003B1FCE" w:rsidTr="00FF7BD9">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7</w:t>
            </w:r>
          </w:p>
        </w:tc>
        <w:tc>
          <w:tcPr>
            <w:tcW w:w="5136"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Consejería Jurídica y de Servicios Legales</w:t>
            </w:r>
          </w:p>
        </w:tc>
        <w:tc>
          <w:tcPr>
            <w:tcW w:w="112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r>
      <w:tr w:rsidR="001A6622" w:rsidRPr="003B1FCE" w:rsidTr="00FF7BD9">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8</w:t>
            </w:r>
          </w:p>
        </w:tc>
        <w:tc>
          <w:tcPr>
            <w:tcW w:w="5136"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Oficialía Mayor</w:t>
            </w:r>
          </w:p>
        </w:tc>
        <w:tc>
          <w:tcPr>
            <w:tcW w:w="112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r>
      <w:tr w:rsidR="001A6622" w:rsidRPr="003B1FCE" w:rsidTr="00FF7BD9">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w:t>
            </w:r>
          </w:p>
        </w:tc>
        <w:tc>
          <w:tcPr>
            <w:tcW w:w="5136"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Gobierno</w:t>
            </w:r>
          </w:p>
        </w:tc>
        <w:tc>
          <w:tcPr>
            <w:tcW w:w="112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r>
      <w:tr w:rsidR="001A6622" w:rsidRPr="003B1FCE" w:rsidTr="00FF7BD9">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w:t>
            </w:r>
          </w:p>
        </w:tc>
        <w:tc>
          <w:tcPr>
            <w:tcW w:w="5136"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Desarrollo Rural y Equidad para las Comunidades</w:t>
            </w:r>
          </w:p>
        </w:tc>
        <w:tc>
          <w:tcPr>
            <w:tcW w:w="112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99.75</w:t>
            </w:r>
          </w:p>
        </w:tc>
        <w:tc>
          <w:tcPr>
            <w:tcW w:w="126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99.98</w:t>
            </w:r>
          </w:p>
        </w:tc>
        <w:tc>
          <w:tcPr>
            <w:tcW w:w="875"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99.86</w:t>
            </w:r>
          </w:p>
        </w:tc>
      </w:tr>
      <w:tr w:rsidR="001A6622" w:rsidRPr="003B1FCE" w:rsidTr="00FF7BD9">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11</w:t>
            </w:r>
          </w:p>
        </w:tc>
        <w:tc>
          <w:tcPr>
            <w:tcW w:w="5136"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Obras y Servicios</w:t>
            </w:r>
          </w:p>
        </w:tc>
        <w:tc>
          <w:tcPr>
            <w:tcW w:w="112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99.95</w:t>
            </w:r>
          </w:p>
        </w:tc>
        <w:tc>
          <w:tcPr>
            <w:tcW w:w="126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99.38</w:t>
            </w:r>
          </w:p>
        </w:tc>
        <w:tc>
          <w:tcPr>
            <w:tcW w:w="875"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99.67</w:t>
            </w:r>
          </w:p>
        </w:tc>
      </w:tr>
      <w:tr w:rsidR="001A6622" w:rsidRPr="003B1FCE" w:rsidTr="00FF7BD9">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12</w:t>
            </w:r>
          </w:p>
        </w:tc>
        <w:tc>
          <w:tcPr>
            <w:tcW w:w="5136"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Salud</w:t>
            </w:r>
          </w:p>
        </w:tc>
        <w:tc>
          <w:tcPr>
            <w:tcW w:w="112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99.50</w:t>
            </w:r>
          </w:p>
        </w:tc>
        <w:tc>
          <w:tcPr>
            <w:tcW w:w="126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99.35</w:t>
            </w:r>
          </w:p>
        </w:tc>
        <w:tc>
          <w:tcPr>
            <w:tcW w:w="875"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99.43</w:t>
            </w:r>
          </w:p>
        </w:tc>
      </w:tr>
      <w:tr w:rsidR="001A6622" w:rsidRPr="003B1FCE" w:rsidTr="00FF7BD9">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13</w:t>
            </w:r>
          </w:p>
        </w:tc>
        <w:tc>
          <w:tcPr>
            <w:tcW w:w="5136"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Trabajo y Fomento al Empleo</w:t>
            </w:r>
          </w:p>
        </w:tc>
        <w:tc>
          <w:tcPr>
            <w:tcW w:w="112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99.73</w:t>
            </w:r>
          </w:p>
        </w:tc>
        <w:tc>
          <w:tcPr>
            <w:tcW w:w="126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97.68</w:t>
            </w:r>
          </w:p>
        </w:tc>
        <w:tc>
          <w:tcPr>
            <w:tcW w:w="875"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98.70</w:t>
            </w:r>
          </w:p>
        </w:tc>
      </w:tr>
      <w:tr w:rsidR="001A6622" w:rsidRPr="003B1FCE" w:rsidTr="00FF7BD9">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14</w:t>
            </w:r>
          </w:p>
        </w:tc>
        <w:tc>
          <w:tcPr>
            <w:tcW w:w="5136"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del Medio Ambiente</w:t>
            </w:r>
          </w:p>
        </w:tc>
        <w:tc>
          <w:tcPr>
            <w:tcW w:w="112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95.92</w:t>
            </w:r>
          </w:p>
        </w:tc>
        <w:tc>
          <w:tcPr>
            <w:tcW w:w="126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99.72</w:t>
            </w:r>
          </w:p>
        </w:tc>
        <w:tc>
          <w:tcPr>
            <w:tcW w:w="875"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97.82</w:t>
            </w:r>
          </w:p>
        </w:tc>
      </w:tr>
      <w:tr w:rsidR="001A6622" w:rsidRPr="003B1FCE" w:rsidTr="00FF7BD9">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15</w:t>
            </w:r>
          </w:p>
        </w:tc>
        <w:tc>
          <w:tcPr>
            <w:tcW w:w="5136"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Ciencia, Tecnología e Innovación</w:t>
            </w:r>
          </w:p>
        </w:tc>
        <w:tc>
          <w:tcPr>
            <w:tcW w:w="112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94.23</w:t>
            </w:r>
          </w:p>
        </w:tc>
        <w:tc>
          <w:tcPr>
            <w:tcW w:w="126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94.21</w:t>
            </w:r>
          </w:p>
        </w:tc>
        <w:tc>
          <w:tcPr>
            <w:tcW w:w="875"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94.22</w:t>
            </w:r>
          </w:p>
        </w:tc>
      </w:tr>
      <w:tr w:rsidR="001A6622" w:rsidRPr="003B1FCE" w:rsidTr="00FF7BD9">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16</w:t>
            </w:r>
          </w:p>
        </w:tc>
        <w:tc>
          <w:tcPr>
            <w:tcW w:w="5136"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Desarrollo Urbano y Vivienda</w:t>
            </w:r>
          </w:p>
        </w:tc>
        <w:tc>
          <w:tcPr>
            <w:tcW w:w="112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88.46</w:t>
            </w:r>
          </w:p>
        </w:tc>
        <w:tc>
          <w:tcPr>
            <w:tcW w:w="126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95.53</w:t>
            </w:r>
          </w:p>
        </w:tc>
        <w:tc>
          <w:tcPr>
            <w:tcW w:w="875"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91.99</w:t>
            </w:r>
          </w:p>
        </w:tc>
      </w:tr>
      <w:tr w:rsidR="001A6622" w:rsidRPr="003B1FCE" w:rsidTr="00FF7BD9">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17</w:t>
            </w:r>
          </w:p>
        </w:tc>
        <w:tc>
          <w:tcPr>
            <w:tcW w:w="5136"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Turismo</w:t>
            </w:r>
          </w:p>
        </w:tc>
        <w:tc>
          <w:tcPr>
            <w:tcW w:w="112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84.04</w:t>
            </w:r>
          </w:p>
        </w:tc>
        <w:tc>
          <w:tcPr>
            <w:tcW w:w="126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98.77</w:t>
            </w:r>
          </w:p>
        </w:tc>
        <w:tc>
          <w:tcPr>
            <w:tcW w:w="875"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91.41</w:t>
            </w:r>
          </w:p>
        </w:tc>
      </w:tr>
      <w:tr w:rsidR="001A6622" w:rsidRPr="003B1FCE" w:rsidTr="00FF7BD9">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lastRenderedPageBreak/>
              <w:t>18</w:t>
            </w:r>
          </w:p>
        </w:tc>
        <w:tc>
          <w:tcPr>
            <w:tcW w:w="5136"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Protección Civil</w:t>
            </w:r>
          </w:p>
        </w:tc>
        <w:tc>
          <w:tcPr>
            <w:tcW w:w="112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87.60</w:t>
            </w:r>
          </w:p>
        </w:tc>
        <w:tc>
          <w:tcPr>
            <w:tcW w:w="126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91.62</w:t>
            </w:r>
          </w:p>
        </w:tc>
        <w:tc>
          <w:tcPr>
            <w:tcW w:w="875"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89.61</w:t>
            </w:r>
          </w:p>
        </w:tc>
      </w:tr>
      <w:tr w:rsidR="001A6622" w:rsidRPr="003B1FCE" w:rsidTr="00FF7BD9">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19</w:t>
            </w:r>
          </w:p>
        </w:tc>
        <w:tc>
          <w:tcPr>
            <w:tcW w:w="5136"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Cultura</w:t>
            </w:r>
          </w:p>
        </w:tc>
        <w:tc>
          <w:tcPr>
            <w:tcW w:w="112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88.82</w:t>
            </w:r>
          </w:p>
        </w:tc>
        <w:tc>
          <w:tcPr>
            <w:tcW w:w="126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88.31</w:t>
            </w:r>
          </w:p>
        </w:tc>
        <w:tc>
          <w:tcPr>
            <w:tcW w:w="875"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88.56</w:t>
            </w:r>
          </w:p>
        </w:tc>
      </w:tr>
      <w:tr w:rsidR="001A6622" w:rsidRPr="003B1FCE" w:rsidTr="00FF7BD9">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20</w:t>
            </w:r>
          </w:p>
        </w:tc>
        <w:tc>
          <w:tcPr>
            <w:tcW w:w="5136"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 xml:space="preserve">Comisión para la Reconstrucción, Recuperación y Transformación de la Ciudad de México, en una CDMX cada vez más </w:t>
            </w:r>
            <w:proofErr w:type="spellStart"/>
            <w:r w:rsidRPr="003B1FCE">
              <w:rPr>
                <w:rFonts w:ascii="Arial" w:hAnsi="Arial" w:cs="Arial"/>
                <w:color w:val="000000" w:themeColor="text1"/>
                <w:sz w:val="20"/>
                <w:szCs w:val="20"/>
              </w:rPr>
              <w:t>resiliente</w:t>
            </w:r>
            <w:proofErr w:type="spellEnd"/>
          </w:p>
        </w:tc>
        <w:tc>
          <w:tcPr>
            <w:tcW w:w="112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66.39</w:t>
            </w:r>
          </w:p>
        </w:tc>
        <w:tc>
          <w:tcPr>
            <w:tcW w:w="126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75.85</w:t>
            </w:r>
          </w:p>
        </w:tc>
        <w:tc>
          <w:tcPr>
            <w:tcW w:w="875"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71.12</w:t>
            </w:r>
          </w:p>
        </w:tc>
      </w:tr>
      <w:tr w:rsidR="001A6622" w:rsidRPr="003B1FCE" w:rsidTr="00FF7BD9">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21</w:t>
            </w:r>
          </w:p>
        </w:tc>
        <w:tc>
          <w:tcPr>
            <w:tcW w:w="5136"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Procuraduría General de Justicia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68.77</w:t>
            </w:r>
          </w:p>
        </w:tc>
        <w:tc>
          <w:tcPr>
            <w:tcW w:w="126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39.96</w:t>
            </w:r>
          </w:p>
        </w:tc>
        <w:tc>
          <w:tcPr>
            <w:tcW w:w="875"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54.37</w:t>
            </w:r>
          </w:p>
        </w:tc>
      </w:tr>
    </w:tbl>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sz w:val="16"/>
          <w:szCs w:val="16"/>
        </w:rPr>
      </w:pPr>
      <w:r w:rsidRPr="003B1FCE">
        <w:rPr>
          <w:rFonts w:ascii="Arial" w:hAnsi="Arial" w:cs="Arial"/>
          <w:b/>
          <w:color w:val="000000" w:themeColor="text1"/>
          <w:sz w:val="16"/>
          <w:szCs w:val="16"/>
        </w:rPr>
        <w:t>Nota metodológica</w:t>
      </w:r>
      <w:r w:rsidRPr="003B1FCE">
        <w:rPr>
          <w:rFonts w:ascii="Arial" w:hAnsi="Arial" w:cs="Arial"/>
          <w:color w:val="000000" w:themeColor="text1"/>
          <w:sz w:val="16"/>
          <w:szCs w:val="16"/>
        </w:rPr>
        <w:t xml:space="preserve">: </w:t>
      </w: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sz w:val="16"/>
          <w:szCs w:val="16"/>
        </w:rPr>
      </w:pPr>
      <w:r w:rsidRPr="003B1FCE">
        <w:rPr>
          <w:rFonts w:ascii="Arial" w:hAnsi="Arial" w:cs="Arial"/>
          <w:color w:val="000000" w:themeColor="text1"/>
          <w:sz w:val="16"/>
          <w:szCs w:val="16"/>
        </w:rPr>
        <w:t>El IGOT se compone del promedio de ICOT-PI e ICOT-PNT.</w:t>
      </w: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sz w:val="16"/>
          <w:szCs w:val="16"/>
        </w:rPr>
      </w:pPr>
      <w:r w:rsidRPr="003B1FCE">
        <w:rPr>
          <w:rFonts w:ascii="Arial" w:hAnsi="Arial" w:cs="Arial"/>
          <w:b/>
          <w:bCs/>
          <w:color w:val="000000" w:themeColor="text1"/>
          <w:sz w:val="16"/>
          <w:szCs w:val="16"/>
        </w:rPr>
        <w:t>%</w:t>
      </w:r>
      <w:proofErr w:type="spellStart"/>
      <w:r w:rsidRPr="003B1FCE">
        <w:rPr>
          <w:rFonts w:ascii="Arial" w:hAnsi="Arial" w:cs="Arial"/>
          <w:b/>
          <w:bCs/>
          <w:color w:val="000000" w:themeColor="text1"/>
          <w:sz w:val="16"/>
          <w:szCs w:val="16"/>
        </w:rPr>
        <w:t>Inf</w:t>
      </w:r>
      <w:proofErr w:type="spellEnd"/>
      <w:r w:rsidRPr="003B1FCE">
        <w:rPr>
          <w:rFonts w:ascii="Arial" w:hAnsi="Arial" w:cs="Arial"/>
          <w:b/>
          <w:bCs/>
          <w:color w:val="000000" w:themeColor="text1"/>
          <w:sz w:val="16"/>
          <w:szCs w:val="16"/>
        </w:rPr>
        <w:t xml:space="preserve"> PI:</w:t>
      </w:r>
      <w:r w:rsidRPr="003B1FCE">
        <w:rPr>
          <w:rFonts w:ascii="Arial" w:hAnsi="Arial" w:cs="Arial"/>
          <w:color w:val="000000" w:themeColor="text1"/>
          <w:sz w:val="16"/>
          <w:szCs w:val="16"/>
        </w:rPr>
        <w:t xml:space="preserve"> corresponde al porcentaje del índice que hace referencia a la información que se encuentra publicada y actualizada en el Portal de Internet (PI) del sujeto obligado. </w:t>
      </w: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sz w:val="16"/>
          <w:szCs w:val="16"/>
        </w:rPr>
      </w:pPr>
      <w:r w:rsidRPr="003B1FCE">
        <w:rPr>
          <w:rFonts w:ascii="Arial" w:hAnsi="Arial" w:cs="Arial"/>
          <w:b/>
          <w:bCs/>
          <w:color w:val="000000" w:themeColor="text1"/>
          <w:sz w:val="16"/>
          <w:szCs w:val="16"/>
        </w:rPr>
        <w:t>%</w:t>
      </w:r>
      <w:proofErr w:type="spellStart"/>
      <w:r w:rsidRPr="003B1FCE">
        <w:rPr>
          <w:rFonts w:ascii="Arial" w:hAnsi="Arial" w:cs="Arial"/>
          <w:b/>
          <w:bCs/>
          <w:color w:val="000000" w:themeColor="text1"/>
          <w:sz w:val="16"/>
          <w:szCs w:val="16"/>
        </w:rPr>
        <w:t>Inf</w:t>
      </w:r>
      <w:proofErr w:type="spellEnd"/>
      <w:r w:rsidRPr="003B1FCE">
        <w:rPr>
          <w:rFonts w:ascii="Arial" w:hAnsi="Arial" w:cs="Arial"/>
          <w:b/>
          <w:bCs/>
          <w:color w:val="000000" w:themeColor="text1"/>
          <w:sz w:val="16"/>
          <w:szCs w:val="16"/>
        </w:rPr>
        <w:t xml:space="preserve"> PNT:</w:t>
      </w:r>
      <w:r w:rsidRPr="003B1FCE">
        <w:rPr>
          <w:rFonts w:ascii="Arial" w:hAnsi="Arial" w:cs="Arial"/>
          <w:color w:val="000000" w:themeColor="text1"/>
          <w:sz w:val="16"/>
          <w:szCs w:val="16"/>
        </w:rPr>
        <w:t xml:space="preserve"> corresponde al porcentaje del índice que hace referencia a la información que se encuentra publicada y actualizada en la Plataforma Nacional de Transparencia (PNT) del sujeto obligado.</w:t>
      </w: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sz w:val="16"/>
          <w:szCs w:val="16"/>
        </w:rPr>
      </w:pPr>
      <w:r w:rsidRPr="003B1FCE">
        <w:rPr>
          <w:rFonts w:ascii="Arial" w:hAnsi="Arial" w:cs="Arial"/>
          <w:b/>
          <w:bCs/>
          <w:color w:val="000000" w:themeColor="text1"/>
          <w:sz w:val="16"/>
          <w:szCs w:val="16"/>
        </w:rPr>
        <w:t>%</w:t>
      </w:r>
      <w:proofErr w:type="spellStart"/>
      <w:r w:rsidRPr="003B1FCE">
        <w:rPr>
          <w:rFonts w:ascii="Arial" w:hAnsi="Arial" w:cs="Arial"/>
          <w:b/>
          <w:bCs/>
          <w:color w:val="000000" w:themeColor="text1"/>
          <w:sz w:val="16"/>
          <w:szCs w:val="16"/>
        </w:rPr>
        <w:t>Inf</w:t>
      </w:r>
      <w:proofErr w:type="spellEnd"/>
      <w:r w:rsidRPr="003B1FCE">
        <w:rPr>
          <w:rFonts w:ascii="Arial" w:hAnsi="Arial" w:cs="Arial"/>
          <w:b/>
          <w:bCs/>
          <w:color w:val="000000" w:themeColor="text1"/>
          <w:sz w:val="16"/>
          <w:szCs w:val="16"/>
        </w:rPr>
        <w:t xml:space="preserve"> IGOT: </w:t>
      </w:r>
      <w:r w:rsidRPr="003B1FCE">
        <w:rPr>
          <w:rFonts w:ascii="Arial" w:hAnsi="Arial" w:cs="Arial"/>
          <w:color w:val="000000" w:themeColor="text1"/>
          <w:sz w:val="16"/>
          <w:szCs w:val="16"/>
        </w:rPr>
        <w:t>corresponde al porcentaje del índice que hace referencia a la información que se encuentra publicada y actualizada tanto en la PNT y el PI del sujeto obligado.</w:t>
      </w: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r w:rsidRPr="003B1FCE">
        <w:rPr>
          <w:rFonts w:ascii="Arial" w:hAnsi="Arial" w:cs="Arial"/>
          <w:color w:val="000000" w:themeColor="text1"/>
        </w:rPr>
        <w:t xml:space="preserve">En atención a la Tabla de Aplicabilidad realizada por la DEAEE del Instituto, las obligaciones que el Poder Ejecutivo – Administración Central debe actualizar y publicar en el SIPOT de la PNT, así como en sus respectivos portales de internet son las contempladas en los siguientes artículos: </w:t>
      </w:r>
    </w:p>
    <w:p w:rsidR="001A6622" w:rsidRPr="003B1FCE" w:rsidRDefault="001A6622" w:rsidP="001A6622">
      <w:pPr>
        <w:pStyle w:val="Prrafodelista"/>
        <w:numPr>
          <w:ilvl w:val="0"/>
          <w:numId w:val="5"/>
        </w:numPr>
        <w:spacing w:before="100" w:beforeAutospacing="1" w:after="100" w:afterAutospacing="1" w:line="360" w:lineRule="auto"/>
        <w:ind w:left="851"/>
        <w:jc w:val="both"/>
        <w:rPr>
          <w:rFonts w:ascii="Arial" w:hAnsi="Arial" w:cs="Arial"/>
          <w:color w:val="000000" w:themeColor="text1"/>
          <w:sz w:val="24"/>
          <w:szCs w:val="24"/>
        </w:rPr>
      </w:pPr>
      <w:r w:rsidRPr="003B1FCE">
        <w:rPr>
          <w:rFonts w:ascii="Arial" w:hAnsi="Arial" w:cs="Arial"/>
          <w:color w:val="000000" w:themeColor="text1"/>
          <w:sz w:val="24"/>
          <w:szCs w:val="24"/>
        </w:rPr>
        <w:t>Artículo 121. Obligaciones comunes,</w:t>
      </w:r>
    </w:p>
    <w:p w:rsidR="001A6622" w:rsidRPr="003B1FCE" w:rsidRDefault="001A6622" w:rsidP="001A6622">
      <w:pPr>
        <w:pStyle w:val="Prrafodelista"/>
        <w:numPr>
          <w:ilvl w:val="0"/>
          <w:numId w:val="5"/>
        </w:numPr>
        <w:spacing w:before="100" w:beforeAutospacing="1" w:after="100" w:afterAutospacing="1" w:line="360" w:lineRule="auto"/>
        <w:ind w:left="851"/>
        <w:jc w:val="both"/>
        <w:rPr>
          <w:rFonts w:ascii="Arial" w:hAnsi="Arial" w:cs="Arial"/>
          <w:color w:val="000000" w:themeColor="text1"/>
          <w:sz w:val="24"/>
          <w:szCs w:val="24"/>
        </w:rPr>
      </w:pPr>
      <w:r w:rsidRPr="003B1FCE">
        <w:rPr>
          <w:rFonts w:ascii="Arial" w:hAnsi="Arial" w:cs="Arial"/>
          <w:color w:val="000000" w:themeColor="text1"/>
          <w:sz w:val="24"/>
          <w:szCs w:val="24"/>
        </w:rPr>
        <w:t>Artículo 122. Obligaciones comunes,</w:t>
      </w:r>
    </w:p>
    <w:p w:rsidR="001A6622" w:rsidRPr="003B1FCE" w:rsidRDefault="001A6622" w:rsidP="001A6622">
      <w:pPr>
        <w:pStyle w:val="Prrafodelista"/>
        <w:numPr>
          <w:ilvl w:val="0"/>
          <w:numId w:val="5"/>
        </w:numPr>
        <w:spacing w:before="100" w:beforeAutospacing="1" w:after="100" w:afterAutospacing="1" w:line="360" w:lineRule="auto"/>
        <w:ind w:left="851"/>
        <w:jc w:val="both"/>
        <w:rPr>
          <w:rFonts w:ascii="Arial" w:hAnsi="Arial" w:cs="Arial"/>
          <w:color w:val="000000" w:themeColor="text1"/>
          <w:sz w:val="24"/>
          <w:szCs w:val="24"/>
        </w:rPr>
      </w:pPr>
      <w:r w:rsidRPr="003B1FCE">
        <w:rPr>
          <w:rFonts w:ascii="Arial" w:hAnsi="Arial" w:cs="Arial"/>
          <w:color w:val="000000" w:themeColor="text1"/>
          <w:sz w:val="24"/>
          <w:szCs w:val="24"/>
        </w:rPr>
        <w:t>Artículo 123. Obligaciones Específicas del Poder Ejecutivo,</w:t>
      </w:r>
    </w:p>
    <w:p w:rsidR="001A6622" w:rsidRPr="003B1FCE" w:rsidRDefault="001A6622" w:rsidP="001A6622">
      <w:pPr>
        <w:pStyle w:val="Prrafodelista"/>
        <w:numPr>
          <w:ilvl w:val="0"/>
          <w:numId w:val="5"/>
        </w:numPr>
        <w:spacing w:before="100" w:beforeAutospacing="1" w:after="100" w:afterAutospacing="1" w:line="360" w:lineRule="auto"/>
        <w:ind w:left="851"/>
        <w:jc w:val="both"/>
        <w:rPr>
          <w:rFonts w:ascii="Arial" w:hAnsi="Arial" w:cs="Arial"/>
          <w:color w:val="000000" w:themeColor="text1"/>
          <w:sz w:val="24"/>
          <w:szCs w:val="24"/>
        </w:rPr>
      </w:pPr>
      <w:r w:rsidRPr="003B1FCE">
        <w:rPr>
          <w:rFonts w:ascii="Arial" w:hAnsi="Arial" w:cs="Arial"/>
          <w:color w:val="000000" w:themeColor="text1"/>
          <w:sz w:val="24"/>
          <w:szCs w:val="24"/>
        </w:rPr>
        <w:t>Artículo 143. Disposiciones Particulares,</w:t>
      </w:r>
    </w:p>
    <w:p w:rsidR="001A6622" w:rsidRPr="003B1FCE" w:rsidRDefault="001A6622" w:rsidP="001A6622">
      <w:pPr>
        <w:pStyle w:val="Prrafodelista"/>
        <w:numPr>
          <w:ilvl w:val="0"/>
          <w:numId w:val="5"/>
        </w:numPr>
        <w:spacing w:before="100" w:beforeAutospacing="1" w:after="100" w:afterAutospacing="1" w:line="360" w:lineRule="auto"/>
        <w:ind w:left="851"/>
        <w:jc w:val="both"/>
        <w:rPr>
          <w:rFonts w:ascii="Arial" w:hAnsi="Arial" w:cs="Arial"/>
          <w:color w:val="000000" w:themeColor="text1"/>
          <w:sz w:val="24"/>
          <w:szCs w:val="24"/>
        </w:rPr>
      </w:pPr>
      <w:r w:rsidRPr="003B1FCE">
        <w:rPr>
          <w:rFonts w:ascii="Arial" w:hAnsi="Arial" w:cs="Arial"/>
          <w:color w:val="000000" w:themeColor="text1"/>
          <w:sz w:val="24"/>
          <w:szCs w:val="24"/>
        </w:rPr>
        <w:t xml:space="preserve">Artículo 145. Disposiciones Particulares, </w:t>
      </w:r>
    </w:p>
    <w:p w:rsidR="001A6622" w:rsidRPr="003B1FCE" w:rsidRDefault="001A6622" w:rsidP="001A6622">
      <w:pPr>
        <w:pStyle w:val="Prrafodelista"/>
        <w:numPr>
          <w:ilvl w:val="0"/>
          <w:numId w:val="5"/>
        </w:numPr>
        <w:spacing w:before="100" w:beforeAutospacing="1" w:after="100" w:afterAutospacing="1" w:line="360" w:lineRule="auto"/>
        <w:ind w:left="851"/>
        <w:jc w:val="both"/>
        <w:rPr>
          <w:rFonts w:ascii="Arial" w:hAnsi="Arial" w:cs="Arial"/>
          <w:color w:val="000000" w:themeColor="text1"/>
          <w:sz w:val="24"/>
          <w:szCs w:val="24"/>
        </w:rPr>
      </w:pPr>
      <w:r w:rsidRPr="003B1FCE">
        <w:rPr>
          <w:rFonts w:ascii="Arial" w:hAnsi="Arial" w:cs="Arial"/>
          <w:color w:val="000000" w:themeColor="text1"/>
          <w:sz w:val="24"/>
          <w:szCs w:val="24"/>
        </w:rPr>
        <w:t xml:space="preserve">Artículo 146. Disposiciones Particulares, </w:t>
      </w:r>
    </w:p>
    <w:p w:rsidR="001A6622" w:rsidRPr="003B1FCE" w:rsidRDefault="001A6622" w:rsidP="001A6622">
      <w:pPr>
        <w:pStyle w:val="Prrafodelista"/>
        <w:numPr>
          <w:ilvl w:val="0"/>
          <w:numId w:val="5"/>
        </w:numPr>
        <w:spacing w:before="100" w:beforeAutospacing="1" w:after="100" w:afterAutospacing="1" w:line="360" w:lineRule="auto"/>
        <w:ind w:left="851"/>
        <w:jc w:val="both"/>
        <w:rPr>
          <w:rFonts w:ascii="Arial" w:hAnsi="Arial" w:cs="Arial"/>
          <w:color w:val="000000" w:themeColor="text1"/>
          <w:sz w:val="24"/>
          <w:szCs w:val="24"/>
        </w:rPr>
      </w:pPr>
      <w:r w:rsidRPr="003B1FCE">
        <w:rPr>
          <w:rFonts w:ascii="Arial" w:hAnsi="Arial" w:cs="Arial"/>
          <w:color w:val="000000" w:themeColor="text1"/>
          <w:sz w:val="24"/>
          <w:szCs w:val="24"/>
        </w:rPr>
        <w:t xml:space="preserve">Artículo 147. Disposiciones Particulares. </w:t>
      </w:r>
    </w:p>
    <w:p w:rsidR="001A6622" w:rsidRPr="003B1FCE" w:rsidRDefault="001A6622" w:rsidP="00FF7BD9">
      <w:pPr>
        <w:pStyle w:val="Ttulo2"/>
        <w:contextualSpacing/>
        <w:jc w:val="both"/>
        <w:rPr>
          <w:rFonts w:ascii="Arial" w:hAnsi="Arial" w:cs="Arial"/>
          <w:b/>
          <w:color w:val="000000" w:themeColor="text1"/>
          <w:sz w:val="24"/>
          <w:szCs w:val="24"/>
        </w:rPr>
      </w:pPr>
      <w:bookmarkStart w:id="14" w:name="_Toc26913253"/>
      <w:r w:rsidRPr="003B1FCE">
        <w:rPr>
          <w:rFonts w:ascii="Arial" w:hAnsi="Arial" w:cs="Arial"/>
          <w:b/>
          <w:color w:val="000000" w:themeColor="text1"/>
          <w:sz w:val="24"/>
          <w:szCs w:val="24"/>
        </w:rPr>
        <w:lastRenderedPageBreak/>
        <w:t>Análisis global de cumplimiento del Poder Ejecutivo – Administración Central</w:t>
      </w:r>
      <w:bookmarkEnd w:id="14"/>
    </w:p>
    <w:p w:rsidR="001A6622" w:rsidRPr="003B1FCE" w:rsidRDefault="001A6622" w:rsidP="001A6622">
      <w:pPr>
        <w:rPr>
          <w:rFonts w:ascii="Arial" w:hAnsi="Arial" w:cs="Arial"/>
          <w:color w:val="000000" w:themeColor="text1"/>
        </w:rPr>
      </w:pP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u w:val="single"/>
        </w:rPr>
      </w:pPr>
      <w:r w:rsidRPr="003B1FCE">
        <w:rPr>
          <w:rFonts w:ascii="Arial" w:hAnsi="Arial" w:cs="Arial"/>
          <w:color w:val="000000" w:themeColor="text1"/>
          <w:u w:val="single"/>
        </w:rPr>
        <w:t>Índices Globales de Cumplimiento de las obligaciones de transparencia</w:t>
      </w: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r w:rsidRPr="003B1FCE">
        <w:rPr>
          <w:rFonts w:ascii="Arial" w:hAnsi="Arial" w:cs="Arial"/>
          <w:color w:val="000000" w:themeColor="text1"/>
        </w:rPr>
        <w:t>El ámbito del Poder Ejecutivo – Administración Central obtuvo un IGOT de 94.13%, el cual está compuesto por un índice de 93.31% en lo que corresponde a la Plataforma Nacional de Transparencia (PNT) y un índice de 88.28% en lo que se refiere al Portal de Transparencia (PI).</w:t>
      </w: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r w:rsidRPr="003B1FCE">
        <w:rPr>
          <w:rFonts w:ascii="Arial" w:hAnsi="Arial" w:cs="Arial"/>
          <w:color w:val="000000" w:themeColor="text1"/>
        </w:rPr>
        <w:t xml:space="preserve">Todos los sujetos que integran este ámbito atendieron las recomendaciones y observaciones emitidas en la Primera Evaluación Vinculante 2019; no obstante, únicamente nueve subsanaron a cabalidad las recomendaciones, logrando un cumplimiento total de las obligaciones de transparencia. 12 sujetos de la Administración Central aún presentan áreas de oportunidad en la publicación y actualización de la información. De los 12 sujetos, ocho tienen un IGOT ente 90% e inferior al 100%, tres presentan un IGOT entre 70% y 89%, y uno con un incumplimiento parcial de 54.37%. </w:t>
      </w: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r w:rsidRPr="003B1FCE">
        <w:rPr>
          <w:rFonts w:ascii="Arial" w:hAnsi="Arial" w:cs="Arial"/>
          <w:color w:val="000000" w:themeColor="text1"/>
        </w:rPr>
        <w:t xml:space="preserve">Con relación a la Primera Evaluación Vinculante 2019, este ámbito tuvo un incremento sustantivo, puesto que pasó de tener un IGOT de 80.13% a uno de 94.13%; manteniéndose con un cumplimiento parcial de las obligaciones de transparencia de la Ley de Transparencia Local. Este ámbito tuvo un incremento de 14% dentro de su índice. </w:t>
      </w: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u w:val="single"/>
        </w:rPr>
      </w:pPr>
      <w:r w:rsidRPr="003B1FCE">
        <w:rPr>
          <w:rFonts w:ascii="Arial" w:hAnsi="Arial" w:cs="Arial"/>
          <w:color w:val="000000" w:themeColor="text1"/>
          <w:u w:val="single"/>
        </w:rPr>
        <w:t xml:space="preserve">Cumplimiento diferenciado por artículos </w:t>
      </w: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u w:val="single"/>
        </w:rPr>
      </w:pP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r w:rsidRPr="003B1FCE">
        <w:rPr>
          <w:rFonts w:ascii="Arial" w:hAnsi="Arial" w:cs="Arial"/>
          <w:color w:val="000000" w:themeColor="text1"/>
        </w:rPr>
        <w:t xml:space="preserve">Con relación al tipo de obligaciones de transparencia, este ámbito ha cumplido parcialmente con sus obligaciones comunes, específicas y disposiciones particulares, obteniendo un ICP de 93.04%, 95.21% y 96.79%, respectivamente. </w:t>
      </w: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r w:rsidRPr="003B1FCE">
        <w:rPr>
          <w:rFonts w:ascii="Arial" w:hAnsi="Arial" w:cs="Arial"/>
          <w:color w:val="000000" w:themeColor="text1"/>
        </w:rPr>
        <w:lastRenderedPageBreak/>
        <w:t xml:space="preserve">En esta misma línea, por artículo obtuvieron los siguientes índices con relación a la Primera Evaluación Vinculante: </w:t>
      </w:r>
    </w:p>
    <w:tbl>
      <w:tblPr>
        <w:tblStyle w:val="Tablaconcuadrcula"/>
        <w:tblW w:w="0" w:type="auto"/>
        <w:tblLook w:val="04A0" w:firstRow="1" w:lastRow="0" w:firstColumn="1" w:lastColumn="0" w:noHBand="0" w:noVBand="1"/>
      </w:tblPr>
      <w:tblGrid>
        <w:gridCol w:w="3659"/>
        <w:gridCol w:w="2148"/>
        <w:gridCol w:w="2092"/>
        <w:gridCol w:w="12"/>
        <w:gridCol w:w="908"/>
      </w:tblGrid>
      <w:tr w:rsidR="001A6622" w:rsidRPr="003B1FCE" w:rsidTr="00B018FB">
        <w:tc>
          <w:tcPr>
            <w:tcW w:w="3659" w:type="dxa"/>
            <w:shd w:val="clear" w:color="auto" w:fill="ED7D31" w:themeFill="accent2"/>
          </w:tcPr>
          <w:p w:rsidR="001A6622" w:rsidRPr="003B1FCE" w:rsidRDefault="001A6622" w:rsidP="00FF7BD9">
            <w:pPr>
              <w:spacing w:before="100" w:beforeAutospacing="1" w:after="100" w:afterAutospacing="1" w:line="360" w:lineRule="auto"/>
              <w:contextualSpacing/>
              <w:jc w:val="center"/>
              <w:rPr>
                <w:rFonts w:ascii="Arial" w:hAnsi="Arial" w:cs="Arial"/>
                <w:b/>
                <w:bCs/>
                <w:color w:val="000000" w:themeColor="text1"/>
                <w:sz w:val="20"/>
                <w:szCs w:val="20"/>
              </w:rPr>
            </w:pPr>
            <w:r w:rsidRPr="003B1FCE">
              <w:rPr>
                <w:rFonts w:ascii="Arial" w:hAnsi="Arial" w:cs="Arial"/>
                <w:b/>
                <w:bCs/>
                <w:color w:val="000000" w:themeColor="text1"/>
                <w:sz w:val="20"/>
                <w:szCs w:val="20"/>
              </w:rPr>
              <w:t>Artículo</w:t>
            </w:r>
          </w:p>
        </w:tc>
        <w:tc>
          <w:tcPr>
            <w:tcW w:w="2148" w:type="dxa"/>
            <w:shd w:val="clear" w:color="auto" w:fill="ED7D31" w:themeFill="accent2"/>
          </w:tcPr>
          <w:p w:rsidR="001A6622" w:rsidRPr="003B1FCE" w:rsidRDefault="001A6622" w:rsidP="00FF7BD9">
            <w:pPr>
              <w:spacing w:before="100" w:beforeAutospacing="1" w:after="100" w:afterAutospacing="1" w:line="360" w:lineRule="auto"/>
              <w:contextualSpacing/>
              <w:jc w:val="center"/>
              <w:rPr>
                <w:rFonts w:ascii="Arial" w:hAnsi="Arial" w:cs="Arial"/>
                <w:b/>
                <w:bCs/>
                <w:color w:val="000000" w:themeColor="text1"/>
                <w:sz w:val="20"/>
                <w:szCs w:val="20"/>
              </w:rPr>
            </w:pPr>
            <w:r w:rsidRPr="003B1FCE">
              <w:rPr>
                <w:rFonts w:ascii="Arial" w:hAnsi="Arial" w:cs="Arial"/>
                <w:b/>
                <w:bCs/>
                <w:color w:val="000000" w:themeColor="text1"/>
                <w:sz w:val="20"/>
                <w:szCs w:val="20"/>
              </w:rPr>
              <w:t>ICP – 1ª Evaluación</w:t>
            </w:r>
          </w:p>
        </w:tc>
        <w:tc>
          <w:tcPr>
            <w:tcW w:w="2092" w:type="dxa"/>
            <w:shd w:val="clear" w:color="auto" w:fill="ED7D31" w:themeFill="accent2"/>
          </w:tcPr>
          <w:p w:rsidR="001A6622" w:rsidRPr="003B1FCE" w:rsidRDefault="001A6622" w:rsidP="00FF7BD9">
            <w:pPr>
              <w:spacing w:before="100" w:beforeAutospacing="1" w:after="100" w:afterAutospacing="1" w:line="360" w:lineRule="auto"/>
              <w:contextualSpacing/>
              <w:jc w:val="center"/>
              <w:rPr>
                <w:rFonts w:ascii="Arial" w:hAnsi="Arial" w:cs="Arial"/>
                <w:b/>
                <w:bCs/>
                <w:color w:val="000000" w:themeColor="text1"/>
                <w:sz w:val="20"/>
                <w:szCs w:val="20"/>
              </w:rPr>
            </w:pPr>
            <w:r w:rsidRPr="003B1FCE">
              <w:rPr>
                <w:rFonts w:ascii="Arial" w:hAnsi="Arial" w:cs="Arial"/>
                <w:b/>
                <w:bCs/>
                <w:color w:val="000000" w:themeColor="text1"/>
                <w:sz w:val="20"/>
                <w:szCs w:val="20"/>
              </w:rPr>
              <w:t>ICP – 3ª Evaluación</w:t>
            </w:r>
          </w:p>
        </w:tc>
        <w:tc>
          <w:tcPr>
            <w:tcW w:w="920" w:type="dxa"/>
            <w:gridSpan w:val="2"/>
            <w:shd w:val="clear" w:color="auto" w:fill="ED7D31" w:themeFill="accent2"/>
          </w:tcPr>
          <w:p w:rsidR="001A6622" w:rsidRPr="003B1FCE" w:rsidRDefault="001A6622" w:rsidP="00FF7BD9">
            <w:pPr>
              <w:spacing w:before="100" w:beforeAutospacing="1" w:after="100" w:afterAutospacing="1" w:line="360" w:lineRule="auto"/>
              <w:contextualSpacing/>
              <w:jc w:val="center"/>
              <w:rPr>
                <w:rFonts w:ascii="Arial" w:hAnsi="Arial" w:cs="Arial"/>
                <w:b/>
                <w:bCs/>
                <w:color w:val="000000" w:themeColor="text1"/>
                <w:sz w:val="20"/>
                <w:szCs w:val="20"/>
              </w:rPr>
            </w:pPr>
            <w:r w:rsidRPr="003B1FCE">
              <w:rPr>
                <w:rFonts w:ascii="Arial" w:hAnsi="Arial" w:cs="Arial"/>
                <w:b/>
                <w:bCs/>
                <w:color w:val="000000" w:themeColor="text1"/>
                <w:sz w:val="20"/>
                <w:szCs w:val="20"/>
              </w:rPr>
              <w:t>Mejoría</w:t>
            </w:r>
          </w:p>
        </w:tc>
      </w:tr>
      <w:tr w:rsidR="001A6622" w:rsidRPr="003B1FCE" w:rsidTr="00FF7BD9">
        <w:tc>
          <w:tcPr>
            <w:tcW w:w="3659" w:type="dxa"/>
          </w:tcPr>
          <w:p w:rsidR="001A6622" w:rsidRPr="003B1FCE" w:rsidRDefault="001A6622" w:rsidP="00FF7BD9">
            <w:pPr>
              <w:spacing w:before="100" w:beforeAutospacing="1" w:after="100" w:afterAutospacing="1" w:line="360" w:lineRule="auto"/>
              <w:contextualSpacing/>
              <w:rPr>
                <w:rFonts w:ascii="Arial" w:hAnsi="Arial" w:cs="Arial"/>
                <w:b/>
                <w:bCs/>
                <w:color w:val="000000" w:themeColor="text1"/>
                <w:sz w:val="20"/>
                <w:szCs w:val="20"/>
              </w:rPr>
            </w:pPr>
            <w:r w:rsidRPr="003B1FCE">
              <w:rPr>
                <w:rFonts w:ascii="Arial" w:hAnsi="Arial" w:cs="Arial"/>
                <w:b/>
                <w:bCs/>
                <w:color w:val="000000" w:themeColor="text1"/>
                <w:sz w:val="20"/>
                <w:szCs w:val="20"/>
              </w:rPr>
              <w:t>121 – Obligaciones Comunes</w:t>
            </w:r>
          </w:p>
        </w:tc>
        <w:tc>
          <w:tcPr>
            <w:tcW w:w="2148" w:type="dxa"/>
            <w:vAlign w:val="center"/>
          </w:tcPr>
          <w:p w:rsidR="001A6622" w:rsidRPr="003B1FCE" w:rsidRDefault="001A6622" w:rsidP="00FF7BD9">
            <w:pPr>
              <w:spacing w:before="100" w:beforeAutospacing="1" w:after="100" w:afterAutospacing="1" w:line="360" w:lineRule="auto"/>
              <w:contextualSpacing/>
              <w:jc w:val="center"/>
              <w:rPr>
                <w:rFonts w:ascii="Arial" w:hAnsi="Arial" w:cs="Arial"/>
                <w:color w:val="000000" w:themeColor="text1"/>
                <w:sz w:val="20"/>
                <w:szCs w:val="20"/>
              </w:rPr>
            </w:pPr>
            <w:r w:rsidRPr="003B1FCE">
              <w:rPr>
                <w:rFonts w:ascii="Arial" w:hAnsi="Arial" w:cs="Arial"/>
                <w:color w:val="000000" w:themeColor="text1"/>
                <w:sz w:val="20"/>
                <w:szCs w:val="20"/>
              </w:rPr>
              <w:t>80.39</w:t>
            </w:r>
          </w:p>
        </w:tc>
        <w:tc>
          <w:tcPr>
            <w:tcW w:w="2104" w:type="dxa"/>
            <w:gridSpan w:val="2"/>
            <w:vAlign w:val="center"/>
          </w:tcPr>
          <w:p w:rsidR="001A6622" w:rsidRPr="003B1FCE" w:rsidRDefault="001A6622" w:rsidP="00FF7BD9">
            <w:pPr>
              <w:spacing w:before="100" w:beforeAutospacing="1" w:after="100" w:afterAutospacing="1" w:line="360" w:lineRule="auto"/>
              <w:contextualSpacing/>
              <w:jc w:val="center"/>
              <w:rPr>
                <w:rFonts w:ascii="Arial" w:hAnsi="Arial" w:cs="Arial"/>
                <w:color w:val="000000" w:themeColor="text1"/>
                <w:sz w:val="20"/>
                <w:szCs w:val="20"/>
              </w:rPr>
            </w:pPr>
            <w:r w:rsidRPr="003B1FCE">
              <w:rPr>
                <w:rFonts w:ascii="Arial" w:hAnsi="Arial" w:cs="Arial"/>
                <w:color w:val="000000" w:themeColor="text1"/>
                <w:sz w:val="20"/>
                <w:szCs w:val="20"/>
              </w:rPr>
              <w:t>93.04</w:t>
            </w:r>
          </w:p>
        </w:tc>
        <w:tc>
          <w:tcPr>
            <w:tcW w:w="908" w:type="dxa"/>
            <w:vAlign w:val="center"/>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12.65</w:t>
            </w:r>
          </w:p>
        </w:tc>
      </w:tr>
      <w:tr w:rsidR="001A6622" w:rsidRPr="003B1FCE" w:rsidTr="00FF7BD9">
        <w:tc>
          <w:tcPr>
            <w:tcW w:w="3659" w:type="dxa"/>
          </w:tcPr>
          <w:p w:rsidR="001A6622" w:rsidRPr="003B1FCE" w:rsidRDefault="001A6622" w:rsidP="00FF7BD9">
            <w:pPr>
              <w:spacing w:before="100" w:beforeAutospacing="1" w:after="100" w:afterAutospacing="1" w:line="360" w:lineRule="auto"/>
              <w:contextualSpacing/>
              <w:rPr>
                <w:rFonts w:ascii="Arial" w:hAnsi="Arial" w:cs="Arial"/>
                <w:b/>
                <w:bCs/>
                <w:color w:val="000000" w:themeColor="text1"/>
                <w:sz w:val="20"/>
                <w:szCs w:val="20"/>
              </w:rPr>
            </w:pPr>
            <w:r w:rsidRPr="003B1FCE">
              <w:rPr>
                <w:rFonts w:ascii="Arial" w:hAnsi="Arial" w:cs="Arial"/>
                <w:b/>
                <w:bCs/>
                <w:color w:val="000000" w:themeColor="text1"/>
                <w:sz w:val="20"/>
                <w:szCs w:val="20"/>
              </w:rPr>
              <w:t>122 – Obligaciones Comunes</w:t>
            </w:r>
          </w:p>
        </w:tc>
        <w:tc>
          <w:tcPr>
            <w:tcW w:w="2148" w:type="dxa"/>
            <w:vAlign w:val="center"/>
          </w:tcPr>
          <w:p w:rsidR="001A6622" w:rsidRPr="003B1FCE" w:rsidRDefault="001A6622" w:rsidP="00FF7BD9">
            <w:pPr>
              <w:spacing w:before="100" w:beforeAutospacing="1" w:after="100" w:afterAutospacing="1" w:line="360" w:lineRule="auto"/>
              <w:contextualSpacing/>
              <w:jc w:val="center"/>
              <w:rPr>
                <w:rFonts w:ascii="Arial" w:hAnsi="Arial" w:cs="Arial"/>
                <w:color w:val="000000" w:themeColor="text1"/>
                <w:sz w:val="20"/>
                <w:szCs w:val="20"/>
              </w:rPr>
            </w:pPr>
            <w:r w:rsidRPr="003B1FCE">
              <w:rPr>
                <w:rFonts w:ascii="Arial" w:hAnsi="Arial" w:cs="Arial"/>
                <w:color w:val="000000" w:themeColor="text1"/>
                <w:sz w:val="20"/>
                <w:szCs w:val="20"/>
              </w:rPr>
              <w:t>92.9</w:t>
            </w:r>
          </w:p>
        </w:tc>
        <w:tc>
          <w:tcPr>
            <w:tcW w:w="2104" w:type="dxa"/>
            <w:gridSpan w:val="2"/>
            <w:vAlign w:val="center"/>
          </w:tcPr>
          <w:p w:rsidR="001A6622" w:rsidRPr="003B1FCE" w:rsidRDefault="001A6622" w:rsidP="00FF7BD9">
            <w:pPr>
              <w:spacing w:before="100" w:beforeAutospacing="1" w:after="100" w:afterAutospacing="1" w:line="360" w:lineRule="auto"/>
              <w:contextualSpacing/>
              <w:jc w:val="center"/>
              <w:rPr>
                <w:rFonts w:ascii="Arial" w:hAnsi="Arial" w:cs="Arial"/>
                <w:color w:val="000000" w:themeColor="text1"/>
                <w:sz w:val="20"/>
                <w:szCs w:val="20"/>
              </w:rPr>
            </w:pPr>
            <w:r w:rsidRPr="003B1FCE">
              <w:rPr>
                <w:rFonts w:ascii="Arial" w:hAnsi="Arial" w:cs="Arial"/>
                <w:color w:val="000000" w:themeColor="text1"/>
                <w:sz w:val="20"/>
                <w:szCs w:val="20"/>
              </w:rPr>
              <w:t>100</w:t>
            </w:r>
          </w:p>
        </w:tc>
        <w:tc>
          <w:tcPr>
            <w:tcW w:w="908" w:type="dxa"/>
            <w:vAlign w:val="center"/>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7.1</w:t>
            </w:r>
          </w:p>
        </w:tc>
      </w:tr>
      <w:tr w:rsidR="001A6622" w:rsidRPr="003B1FCE" w:rsidTr="00FF7BD9">
        <w:tc>
          <w:tcPr>
            <w:tcW w:w="3659" w:type="dxa"/>
          </w:tcPr>
          <w:p w:rsidR="001A6622" w:rsidRPr="003B1FCE" w:rsidRDefault="001A6622" w:rsidP="00FF7BD9">
            <w:pPr>
              <w:spacing w:before="100" w:beforeAutospacing="1" w:after="100" w:afterAutospacing="1" w:line="360" w:lineRule="auto"/>
              <w:contextualSpacing/>
              <w:rPr>
                <w:rFonts w:ascii="Arial" w:hAnsi="Arial" w:cs="Arial"/>
                <w:b/>
                <w:bCs/>
                <w:color w:val="000000" w:themeColor="text1"/>
                <w:sz w:val="20"/>
                <w:szCs w:val="20"/>
              </w:rPr>
            </w:pPr>
            <w:r w:rsidRPr="003B1FCE">
              <w:rPr>
                <w:rFonts w:ascii="Arial" w:hAnsi="Arial" w:cs="Arial"/>
                <w:b/>
                <w:bCs/>
                <w:color w:val="000000" w:themeColor="text1"/>
                <w:sz w:val="20"/>
                <w:szCs w:val="20"/>
              </w:rPr>
              <w:t>123 – Obligaciones Específicas del Poder Ejecutivo</w:t>
            </w:r>
          </w:p>
        </w:tc>
        <w:tc>
          <w:tcPr>
            <w:tcW w:w="2148" w:type="dxa"/>
            <w:vAlign w:val="center"/>
          </w:tcPr>
          <w:p w:rsidR="001A6622" w:rsidRPr="003B1FCE" w:rsidRDefault="001A6622" w:rsidP="00FF7BD9">
            <w:pPr>
              <w:spacing w:before="100" w:beforeAutospacing="1" w:after="100" w:afterAutospacing="1" w:line="360" w:lineRule="auto"/>
              <w:contextualSpacing/>
              <w:jc w:val="center"/>
              <w:rPr>
                <w:rFonts w:ascii="Arial" w:hAnsi="Arial" w:cs="Arial"/>
                <w:color w:val="000000" w:themeColor="text1"/>
                <w:sz w:val="20"/>
                <w:szCs w:val="20"/>
              </w:rPr>
            </w:pPr>
            <w:r w:rsidRPr="003B1FCE">
              <w:rPr>
                <w:rFonts w:ascii="Arial" w:hAnsi="Arial" w:cs="Arial"/>
                <w:color w:val="000000" w:themeColor="text1"/>
                <w:sz w:val="20"/>
                <w:szCs w:val="20"/>
              </w:rPr>
              <w:t>81.76</w:t>
            </w:r>
          </w:p>
        </w:tc>
        <w:tc>
          <w:tcPr>
            <w:tcW w:w="2104" w:type="dxa"/>
            <w:gridSpan w:val="2"/>
            <w:vAlign w:val="center"/>
          </w:tcPr>
          <w:p w:rsidR="001A6622" w:rsidRPr="003B1FCE" w:rsidRDefault="001A6622" w:rsidP="00FF7BD9">
            <w:pPr>
              <w:spacing w:before="100" w:beforeAutospacing="1" w:after="100" w:afterAutospacing="1" w:line="360" w:lineRule="auto"/>
              <w:contextualSpacing/>
              <w:jc w:val="center"/>
              <w:rPr>
                <w:rFonts w:ascii="Arial" w:hAnsi="Arial" w:cs="Arial"/>
                <w:color w:val="000000" w:themeColor="text1"/>
                <w:sz w:val="20"/>
                <w:szCs w:val="20"/>
              </w:rPr>
            </w:pPr>
            <w:r w:rsidRPr="003B1FCE">
              <w:rPr>
                <w:rFonts w:ascii="Arial" w:hAnsi="Arial" w:cs="Arial"/>
                <w:color w:val="000000" w:themeColor="text1"/>
                <w:sz w:val="20"/>
                <w:szCs w:val="20"/>
              </w:rPr>
              <w:t>95.21</w:t>
            </w:r>
          </w:p>
        </w:tc>
        <w:tc>
          <w:tcPr>
            <w:tcW w:w="908" w:type="dxa"/>
            <w:vAlign w:val="center"/>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13.45</w:t>
            </w:r>
          </w:p>
        </w:tc>
      </w:tr>
      <w:tr w:rsidR="001A6622" w:rsidRPr="003B1FCE" w:rsidTr="00FF7BD9">
        <w:tc>
          <w:tcPr>
            <w:tcW w:w="3659" w:type="dxa"/>
          </w:tcPr>
          <w:p w:rsidR="001A6622" w:rsidRPr="003B1FCE" w:rsidRDefault="001A6622" w:rsidP="00FF7BD9">
            <w:pPr>
              <w:spacing w:before="100" w:beforeAutospacing="1" w:after="100" w:afterAutospacing="1" w:line="360" w:lineRule="auto"/>
              <w:contextualSpacing/>
              <w:rPr>
                <w:rFonts w:ascii="Arial" w:hAnsi="Arial" w:cs="Arial"/>
                <w:b/>
                <w:bCs/>
                <w:color w:val="000000" w:themeColor="text1"/>
                <w:sz w:val="20"/>
                <w:szCs w:val="20"/>
              </w:rPr>
            </w:pPr>
            <w:r w:rsidRPr="003B1FCE">
              <w:rPr>
                <w:rFonts w:ascii="Arial" w:hAnsi="Arial" w:cs="Arial"/>
                <w:b/>
                <w:bCs/>
                <w:color w:val="000000" w:themeColor="text1"/>
                <w:sz w:val="20"/>
                <w:szCs w:val="20"/>
              </w:rPr>
              <w:t xml:space="preserve">143 – Obra Pública </w:t>
            </w:r>
          </w:p>
        </w:tc>
        <w:tc>
          <w:tcPr>
            <w:tcW w:w="2148" w:type="dxa"/>
            <w:vAlign w:val="center"/>
          </w:tcPr>
          <w:p w:rsidR="001A6622" w:rsidRPr="003B1FCE" w:rsidRDefault="001A6622" w:rsidP="00FF7BD9">
            <w:pPr>
              <w:spacing w:before="100" w:beforeAutospacing="1" w:after="100" w:afterAutospacing="1" w:line="360" w:lineRule="auto"/>
              <w:contextualSpacing/>
              <w:jc w:val="center"/>
              <w:rPr>
                <w:rFonts w:ascii="Arial" w:hAnsi="Arial" w:cs="Arial"/>
                <w:color w:val="000000" w:themeColor="text1"/>
                <w:sz w:val="20"/>
                <w:szCs w:val="20"/>
              </w:rPr>
            </w:pPr>
            <w:r w:rsidRPr="003B1FCE">
              <w:rPr>
                <w:rFonts w:ascii="Arial" w:hAnsi="Arial" w:cs="Arial"/>
                <w:color w:val="000000" w:themeColor="text1"/>
                <w:sz w:val="20"/>
                <w:szCs w:val="20"/>
              </w:rPr>
              <w:t>85.54</w:t>
            </w:r>
          </w:p>
        </w:tc>
        <w:tc>
          <w:tcPr>
            <w:tcW w:w="2104" w:type="dxa"/>
            <w:gridSpan w:val="2"/>
            <w:vAlign w:val="center"/>
          </w:tcPr>
          <w:p w:rsidR="001A6622" w:rsidRPr="003B1FCE" w:rsidRDefault="001A6622" w:rsidP="00FF7BD9">
            <w:pPr>
              <w:spacing w:before="100" w:beforeAutospacing="1" w:after="100" w:afterAutospacing="1" w:line="360" w:lineRule="auto"/>
              <w:contextualSpacing/>
              <w:jc w:val="center"/>
              <w:rPr>
                <w:rFonts w:ascii="Arial" w:hAnsi="Arial" w:cs="Arial"/>
                <w:color w:val="000000" w:themeColor="text1"/>
                <w:sz w:val="20"/>
                <w:szCs w:val="20"/>
              </w:rPr>
            </w:pPr>
            <w:r w:rsidRPr="003B1FCE">
              <w:rPr>
                <w:rFonts w:ascii="Arial" w:hAnsi="Arial" w:cs="Arial"/>
                <w:color w:val="000000" w:themeColor="text1"/>
                <w:sz w:val="20"/>
                <w:szCs w:val="20"/>
              </w:rPr>
              <w:t>96.79</w:t>
            </w:r>
          </w:p>
        </w:tc>
        <w:tc>
          <w:tcPr>
            <w:tcW w:w="908" w:type="dxa"/>
            <w:vAlign w:val="center"/>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11.25</w:t>
            </w:r>
          </w:p>
        </w:tc>
      </w:tr>
      <w:tr w:rsidR="001A6622" w:rsidRPr="003B1FCE" w:rsidTr="00FF7BD9">
        <w:tc>
          <w:tcPr>
            <w:tcW w:w="3659" w:type="dxa"/>
          </w:tcPr>
          <w:p w:rsidR="001A6622" w:rsidRPr="003B1FCE" w:rsidRDefault="001A6622" w:rsidP="00FF7BD9">
            <w:pPr>
              <w:spacing w:before="100" w:beforeAutospacing="1" w:after="100" w:afterAutospacing="1" w:line="360" w:lineRule="auto"/>
              <w:contextualSpacing/>
              <w:rPr>
                <w:rFonts w:ascii="Arial" w:hAnsi="Arial" w:cs="Arial"/>
                <w:b/>
                <w:bCs/>
                <w:color w:val="000000" w:themeColor="text1"/>
                <w:sz w:val="20"/>
                <w:szCs w:val="20"/>
              </w:rPr>
            </w:pPr>
            <w:r w:rsidRPr="003B1FCE">
              <w:rPr>
                <w:rFonts w:ascii="Arial" w:hAnsi="Arial" w:cs="Arial"/>
                <w:b/>
                <w:bCs/>
                <w:color w:val="000000" w:themeColor="text1"/>
                <w:sz w:val="20"/>
                <w:szCs w:val="20"/>
              </w:rPr>
              <w:t>145 – Portal de Transparencia</w:t>
            </w:r>
          </w:p>
        </w:tc>
        <w:tc>
          <w:tcPr>
            <w:tcW w:w="2148" w:type="dxa"/>
            <w:vAlign w:val="center"/>
          </w:tcPr>
          <w:p w:rsidR="001A6622" w:rsidRPr="003B1FCE" w:rsidRDefault="001A6622" w:rsidP="00FF7BD9">
            <w:pPr>
              <w:spacing w:before="100" w:beforeAutospacing="1" w:after="100" w:afterAutospacing="1" w:line="360" w:lineRule="auto"/>
              <w:contextualSpacing/>
              <w:jc w:val="center"/>
              <w:rPr>
                <w:rFonts w:ascii="Arial" w:hAnsi="Arial" w:cs="Arial"/>
                <w:color w:val="000000" w:themeColor="text1"/>
                <w:sz w:val="20"/>
                <w:szCs w:val="20"/>
              </w:rPr>
            </w:pPr>
            <w:r w:rsidRPr="003B1FCE">
              <w:rPr>
                <w:rFonts w:ascii="Arial" w:hAnsi="Arial" w:cs="Arial"/>
                <w:color w:val="000000" w:themeColor="text1"/>
                <w:sz w:val="20"/>
                <w:szCs w:val="20"/>
              </w:rPr>
              <w:t>97.55</w:t>
            </w:r>
          </w:p>
        </w:tc>
        <w:tc>
          <w:tcPr>
            <w:tcW w:w="2104" w:type="dxa"/>
            <w:gridSpan w:val="2"/>
            <w:vAlign w:val="center"/>
          </w:tcPr>
          <w:p w:rsidR="001A6622" w:rsidRPr="003B1FCE" w:rsidRDefault="001A6622" w:rsidP="00FF7BD9">
            <w:pPr>
              <w:spacing w:before="100" w:beforeAutospacing="1" w:after="100" w:afterAutospacing="1" w:line="360" w:lineRule="auto"/>
              <w:contextualSpacing/>
              <w:jc w:val="center"/>
              <w:rPr>
                <w:rFonts w:ascii="Arial" w:hAnsi="Arial" w:cs="Arial"/>
                <w:color w:val="000000" w:themeColor="text1"/>
                <w:sz w:val="20"/>
                <w:szCs w:val="20"/>
              </w:rPr>
            </w:pPr>
            <w:r w:rsidRPr="003B1FCE">
              <w:rPr>
                <w:rFonts w:ascii="Arial" w:hAnsi="Arial" w:cs="Arial"/>
                <w:color w:val="000000" w:themeColor="text1"/>
                <w:sz w:val="20"/>
                <w:szCs w:val="20"/>
              </w:rPr>
              <w:t>99.70</w:t>
            </w:r>
          </w:p>
        </w:tc>
        <w:tc>
          <w:tcPr>
            <w:tcW w:w="908" w:type="dxa"/>
            <w:vAlign w:val="center"/>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2.15</w:t>
            </w:r>
          </w:p>
        </w:tc>
      </w:tr>
      <w:tr w:rsidR="001A6622" w:rsidRPr="003B1FCE" w:rsidTr="00FF7BD9">
        <w:tc>
          <w:tcPr>
            <w:tcW w:w="3659" w:type="dxa"/>
          </w:tcPr>
          <w:p w:rsidR="001A6622" w:rsidRPr="003B1FCE" w:rsidRDefault="001A6622" w:rsidP="00FF7BD9">
            <w:pPr>
              <w:spacing w:before="100" w:beforeAutospacing="1" w:after="100" w:afterAutospacing="1" w:line="360" w:lineRule="auto"/>
              <w:contextualSpacing/>
              <w:rPr>
                <w:rFonts w:ascii="Arial" w:hAnsi="Arial" w:cs="Arial"/>
                <w:b/>
                <w:bCs/>
                <w:color w:val="000000" w:themeColor="text1"/>
                <w:sz w:val="20"/>
                <w:szCs w:val="20"/>
              </w:rPr>
            </w:pPr>
            <w:r w:rsidRPr="003B1FCE">
              <w:rPr>
                <w:rFonts w:ascii="Arial" w:hAnsi="Arial" w:cs="Arial"/>
                <w:b/>
                <w:bCs/>
                <w:color w:val="000000" w:themeColor="text1"/>
                <w:sz w:val="20"/>
                <w:szCs w:val="20"/>
              </w:rPr>
              <w:t>146 – Calendario de actualización</w:t>
            </w:r>
          </w:p>
        </w:tc>
        <w:tc>
          <w:tcPr>
            <w:tcW w:w="2148" w:type="dxa"/>
            <w:vAlign w:val="center"/>
          </w:tcPr>
          <w:p w:rsidR="001A6622" w:rsidRPr="003B1FCE" w:rsidRDefault="001A6622" w:rsidP="00FF7BD9">
            <w:pPr>
              <w:spacing w:before="100" w:beforeAutospacing="1" w:after="100" w:afterAutospacing="1" w:line="360" w:lineRule="auto"/>
              <w:contextualSpacing/>
              <w:jc w:val="center"/>
              <w:rPr>
                <w:rFonts w:ascii="Arial" w:hAnsi="Arial" w:cs="Arial"/>
                <w:color w:val="000000" w:themeColor="text1"/>
                <w:sz w:val="20"/>
                <w:szCs w:val="20"/>
              </w:rPr>
            </w:pPr>
            <w:r w:rsidRPr="003B1FCE">
              <w:rPr>
                <w:rFonts w:ascii="Arial" w:hAnsi="Arial" w:cs="Arial"/>
                <w:color w:val="000000" w:themeColor="text1"/>
                <w:sz w:val="20"/>
                <w:szCs w:val="20"/>
              </w:rPr>
              <w:t>47.3</w:t>
            </w:r>
          </w:p>
        </w:tc>
        <w:tc>
          <w:tcPr>
            <w:tcW w:w="2104" w:type="dxa"/>
            <w:gridSpan w:val="2"/>
            <w:vAlign w:val="center"/>
          </w:tcPr>
          <w:p w:rsidR="001A6622" w:rsidRPr="003B1FCE" w:rsidRDefault="001A6622" w:rsidP="00FF7BD9">
            <w:pPr>
              <w:spacing w:before="100" w:beforeAutospacing="1" w:after="100" w:afterAutospacing="1" w:line="360" w:lineRule="auto"/>
              <w:contextualSpacing/>
              <w:jc w:val="center"/>
              <w:rPr>
                <w:rFonts w:ascii="Arial" w:hAnsi="Arial" w:cs="Arial"/>
                <w:color w:val="000000" w:themeColor="text1"/>
                <w:sz w:val="20"/>
                <w:szCs w:val="20"/>
              </w:rPr>
            </w:pPr>
            <w:r w:rsidRPr="003B1FCE">
              <w:rPr>
                <w:rFonts w:ascii="Arial" w:hAnsi="Arial" w:cs="Arial"/>
                <w:color w:val="000000" w:themeColor="text1"/>
                <w:sz w:val="20"/>
                <w:szCs w:val="20"/>
              </w:rPr>
              <w:t>88.27</w:t>
            </w:r>
          </w:p>
        </w:tc>
        <w:tc>
          <w:tcPr>
            <w:tcW w:w="908" w:type="dxa"/>
            <w:vAlign w:val="center"/>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40.97</w:t>
            </w:r>
          </w:p>
        </w:tc>
      </w:tr>
      <w:tr w:rsidR="001A6622" w:rsidRPr="003B1FCE" w:rsidTr="00FF7BD9">
        <w:tc>
          <w:tcPr>
            <w:tcW w:w="3659" w:type="dxa"/>
          </w:tcPr>
          <w:p w:rsidR="001A6622" w:rsidRPr="003B1FCE" w:rsidRDefault="001A6622" w:rsidP="00FF7BD9">
            <w:pPr>
              <w:spacing w:before="100" w:beforeAutospacing="1" w:after="100" w:afterAutospacing="1" w:line="360" w:lineRule="auto"/>
              <w:contextualSpacing/>
              <w:rPr>
                <w:rFonts w:ascii="Arial" w:hAnsi="Arial" w:cs="Arial"/>
                <w:b/>
                <w:bCs/>
                <w:color w:val="000000" w:themeColor="text1"/>
                <w:sz w:val="20"/>
                <w:szCs w:val="20"/>
              </w:rPr>
            </w:pPr>
            <w:r w:rsidRPr="003B1FCE">
              <w:rPr>
                <w:rFonts w:ascii="Arial" w:hAnsi="Arial" w:cs="Arial"/>
                <w:b/>
                <w:bCs/>
                <w:color w:val="000000" w:themeColor="text1"/>
                <w:sz w:val="20"/>
                <w:szCs w:val="20"/>
              </w:rPr>
              <w:t xml:space="preserve">147 – Informes respecto de recursos otorgados por el sujeto obligado a terceros </w:t>
            </w:r>
          </w:p>
        </w:tc>
        <w:tc>
          <w:tcPr>
            <w:tcW w:w="2148" w:type="dxa"/>
            <w:vAlign w:val="center"/>
          </w:tcPr>
          <w:p w:rsidR="001A6622" w:rsidRPr="003B1FCE" w:rsidRDefault="001A6622" w:rsidP="00FF7BD9">
            <w:pPr>
              <w:spacing w:before="100" w:beforeAutospacing="1" w:after="100" w:afterAutospacing="1" w:line="360" w:lineRule="auto"/>
              <w:contextualSpacing/>
              <w:jc w:val="center"/>
              <w:rPr>
                <w:rFonts w:ascii="Arial" w:hAnsi="Arial" w:cs="Arial"/>
                <w:color w:val="000000" w:themeColor="text1"/>
                <w:sz w:val="20"/>
                <w:szCs w:val="20"/>
              </w:rPr>
            </w:pPr>
            <w:r w:rsidRPr="003B1FCE">
              <w:rPr>
                <w:rFonts w:ascii="Arial" w:hAnsi="Arial" w:cs="Arial"/>
                <w:color w:val="000000" w:themeColor="text1"/>
                <w:sz w:val="20"/>
                <w:szCs w:val="20"/>
              </w:rPr>
              <w:t>76.3</w:t>
            </w:r>
          </w:p>
        </w:tc>
        <w:tc>
          <w:tcPr>
            <w:tcW w:w="2104" w:type="dxa"/>
            <w:gridSpan w:val="2"/>
            <w:vAlign w:val="center"/>
          </w:tcPr>
          <w:p w:rsidR="001A6622" w:rsidRPr="003B1FCE" w:rsidRDefault="001A6622" w:rsidP="00FF7BD9">
            <w:pPr>
              <w:spacing w:before="100" w:beforeAutospacing="1" w:after="100" w:afterAutospacing="1" w:line="360" w:lineRule="auto"/>
              <w:contextualSpacing/>
              <w:jc w:val="center"/>
              <w:rPr>
                <w:rFonts w:ascii="Arial" w:hAnsi="Arial" w:cs="Arial"/>
                <w:color w:val="000000" w:themeColor="text1"/>
                <w:sz w:val="20"/>
                <w:szCs w:val="20"/>
              </w:rPr>
            </w:pPr>
            <w:r w:rsidRPr="003B1FCE">
              <w:rPr>
                <w:rFonts w:ascii="Arial" w:hAnsi="Arial" w:cs="Arial"/>
                <w:color w:val="000000" w:themeColor="text1"/>
                <w:sz w:val="20"/>
                <w:szCs w:val="20"/>
              </w:rPr>
              <w:t>100</w:t>
            </w:r>
          </w:p>
        </w:tc>
        <w:tc>
          <w:tcPr>
            <w:tcW w:w="908" w:type="dxa"/>
            <w:vAlign w:val="center"/>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23.7</w:t>
            </w:r>
          </w:p>
        </w:tc>
      </w:tr>
    </w:tbl>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r w:rsidRPr="003B1FCE">
        <w:rPr>
          <w:rFonts w:ascii="Arial" w:hAnsi="Arial" w:cs="Arial"/>
          <w:color w:val="000000" w:themeColor="text1"/>
        </w:rPr>
        <w:t xml:space="preserve">Del comparativo anteriormente plasmado, se puede apreciar que este ámbito tuvo un incremento sustantivo en todos sus índices por artículo; de igual forma, el ICP de dos artículos alcanzó el 100% y los demás se encuentran en un cumplimiento parcial superior a 88%. </w:t>
      </w: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r w:rsidRPr="003B1FCE">
        <w:rPr>
          <w:rFonts w:ascii="Arial" w:hAnsi="Arial" w:cs="Arial"/>
          <w:color w:val="000000" w:themeColor="text1"/>
        </w:rPr>
        <w:t xml:space="preserve">En lo que respecta a las obligaciones comunes, el artículo 121 pasó de tener un ICP de 80.39% a uno de 93.04 y el artículo 122 de tener un ICP de 92.9% a un cumplimiento total. Las obligaciones comunes tuvieron un incremento promedio de 9.8 puntos en su índice. </w:t>
      </w: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r w:rsidRPr="003B1FCE">
        <w:rPr>
          <w:rFonts w:ascii="Arial" w:hAnsi="Arial" w:cs="Arial"/>
          <w:color w:val="000000" w:themeColor="text1"/>
        </w:rPr>
        <w:t>Sobre las obligaciones específicas, la Administración Central tuvo un incremento de 13.45 puntos, pasando de un ICP de 81.76% a un ICP de 95.21%; por lo que aún hay presente</w:t>
      </w:r>
      <w:r w:rsidR="00D71D7B">
        <w:rPr>
          <w:rFonts w:ascii="Arial" w:hAnsi="Arial" w:cs="Arial"/>
          <w:color w:val="000000" w:themeColor="text1"/>
        </w:rPr>
        <w:t>s</w:t>
      </w:r>
      <w:r w:rsidRPr="003B1FCE">
        <w:rPr>
          <w:rFonts w:ascii="Arial" w:hAnsi="Arial" w:cs="Arial"/>
          <w:color w:val="000000" w:themeColor="text1"/>
        </w:rPr>
        <w:t xml:space="preserve"> varias áreas de oportunidad que atender por parte de las Secretarías en sus Portales Institucionales y en la Plataforma Nacional de Transparencia. </w:t>
      </w: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r w:rsidRPr="003B1FCE">
        <w:rPr>
          <w:rFonts w:ascii="Arial" w:hAnsi="Arial" w:cs="Arial"/>
          <w:color w:val="000000" w:themeColor="text1"/>
        </w:rPr>
        <w:t xml:space="preserve">Por último, las disposiciones particulares tuvieron un incremento promedio de 19.5 puntos, encontrándose su ICP entre 85% y 100%. Es pertinente resaltar que la </w:t>
      </w:r>
      <w:r w:rsidRPr="003B1FCE">
        <w:rPr>
          <w:rFonts w:ascii="Arial" w:hAnsi="Arial" w:cs="Arial"/>
          <w:color w:val="000000" w:themeColor="text1"/>
        </w:rPr>
        <w:lastRenderedPageBreak/>
        <w:t xml:space="preserve">disposición particular consistente en publicar el calendario de actualización de las obligaciones de transparencia pasó de tener un incumplimiento parcial de 47.3% a un cumplimiento de 88.27%. </w:t>
      </w: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r w:rsidRPr="003B1FCE">
        <w:rPr>
          <w:rFonts w:ascii="Arial" w:hAnsi="Arial" w:cs="Arial"/>
          <w:color w:val="000000" w:themeColor="text1"/>
        </w:rPr>
        <w:t>El Poder Ejecutivo – Administración Central obtuvo un incremento promedio en su índice por artículo de 15.8 puntos.</w:t>
      </w:r>
    </w:p>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p>
    <w:p w:rsidR="001A6622" w:rsidRPr="003B1FCE" w:rsidRDefault="001A6622" w:rsidP="001A6622">
      <w:pPr>
        <w:spacing w:before="100" w:beforeAutospacing="1" w:after="100" w:afterAutospacing="1" w:line="360" w:lineRule="auto"/>
        <w:contextualSpacing/>
        <w:jc w:val="both"/>
        <w:rPr>
          <w:rFonts w:ascii="Arial" w:hAnsi="Arial" w:cs="Arial"/>
          <w:b/>
          <w:bCs/>
          <w:color w:val="000000" w:themeColor="text1"/>
        </w:rPr>
      </w:pPr>
      <w:r w:rsidRPr="003B1FCE">
        <w:rPr>
          <w:rFonts w:ascii="Arial" w:hAnsi="Arial" w:cs="Arial"/>
          <w:b/>
          <w:bCs/>
          <w:color w:val="000000" w:themeColor="text1"/>
        </w:rPr>
        <w:t>Comparativo de índices entre la Primera Evaluación Vinculante 2019 y la Tercera Evaluación Vinculante 2019</w:t>
      </w:r>
    </w:p>
    <w:tbl>
      <w:tblPr>
        <w:tblW w:w="9067" w:type="dxa"/>
        <w:tblLayout w:type="fixed"/>
        <w:tblCellMar>
          <w:left w:w="70" w:type="dxa"/>
          <w:right w:w="70" w:type="dxa"/>
        </w:tblCellMar>
        <w:tblLook w:val="04A0" w:firstRow="1" w:lastRow="0" w:firstColumn="1" w:lastColumn="0" w:noHBand="0" w:noVBand="1"/>
      </w:tblPr>
      <w:tblGrid>
        <w:gridCol w:w="463"/>
        <w:gridCol w:w="4352"/>
        <w:gridCol w:w="1559"/>
        <w:gridCol w:w="1703"/>
        <w:gridCol w:w="990"/>
      </w:tblGrid>
      <w:tr w:rsidR="001A6622" w:rsidRPr="003B1FCE" w:rsidTr="00B018FB">
        <w:trPr>
          <w:trHeight w:val="860"/>
          <w:tblHeader/>
        </w:trPr>
        <w:tc>
          <w:tcPr>
            <w:tcW w:w="9067" w:type="dxa"/>
            <w:gridSpan w:val="5"/>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1A6622" w:rsidRPr="003B1FCE" w:rsidRDefault="001A6622" w:rsidP="00FF7BD9">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Resultados de la Tercera Evaluación Vinculante 2019, respecto de las recomendaciones y observaciones de la Primera Evaluación Vinculante 2019</w:t>
            </w:r>
          </w:p>
        </w:tc>
      </w:tr>
      <w:tr w:rsidR="001A6622" w:rsidRPr="003B1FCE" w:rsidTr="00B018FB">
        <w:trPr>
          <w:trHeight w:val="340"/>
          <w:tblHeader/>
        </w:trPr>
        <w:tc>
          <w:tcPr>
            <w:tcW w:w="463" w:type="dxa"/>
            <w:tcBorders>
              <w:top w:val="nil"/>
              <w:left w:val="single" w:sz="4" w:space="0" w:color="auto"/>
              <w:bottom w:val="single" w:sz="4" w:space="0" w:color="auto"/>
              <w:right w:val="single" w:sz="4" w:space="0" w:color="auto"/>
            </w:tcBorders>
            <w:shd w:val="clear" w:color="auto" w:fill="ED7D31" w:themeFill="accent2"/>
            <w:vAlign w:val="center"/>
            <w:hideMark/>
          </w:tcPr>
          <w:p w:rsidR="001A6622" w:rsidRPr="003B1FCE" w:rsidRDefault="001A6622" w:rsidP="00FF7BD9">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No.</w:t>
            </w:r>
          </w:p>
        </w:tc>
        <w:tc>
          <w:tcPr>
            <w:tcW w:w="4352" w:type="dxa"/>
            <w:tcBorders>
              <w:top w:val="nil"/>
              <w:left w:val="nil"/>
              <w:bottom w:val="single" w:sz="4" w:space="0" w:color="auto"/>
              <w:right w:val="single" w:sz="4" w:space="0" w:color="auto"/>
            </w:tcBorders>
            <w:shd w:val="clear" w:color="auto" w:fill="ED7D31" w:themeFill="accent2"/>
            <w:vAlign w:val="center"/>
            <w:hideMark/>
          </w:tcPr>
          <w:p w:rsidR="001A6622" w:rsidRPr="003B1FCE" w:rsidRDefault="001A6622" w:rsidP="00FF7BD9">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Sujeto obligado</w:t>
            </w:r>
          </w:p>
        </w:tc>
        <w:tc>
          <w:tcPr>
            <w:tcW w:w="1559" w:type="dxa"/>
            <w:tcBorders>
              <w:top w:val="nil"/>
              <w:left w:val="nil"/>
              <w:bottom w:val="single" w:sz="4" w:space="0" w:color="auto"/>
              <w:right w:val="single" w:sz="4" w:space="0" w:color="auto"/>
            </w:tcBorders>
            <w:shd w:val="clear" w:color="auto" w:fill="ED7D31" w:themeFill="accent2"/>
            <w:vAlign w:val="center"/>
            <w:hideMark/>
          </w:tcPr>
          <w:p w:rsidR="001A6622" w:rsidRPr="003B1FCE" w:rsidRDefault="001A6622" w:rsidP="00FF7BD9">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1a Evaluación Vinculante 2019, respecto del ejercicio 2018</w:t>
            </w:r>
          </w:p>
        </w:tc>
        <w:tc>
          <w:tcPr>
            <w:tcW w:w="1703" w:type="dxa"/>
            <w:tcBorders>
              <w:top w:val="nil"/>
              <w:left w:val="nil"/>
              <w:bottom w:val="single" w:sz="4" w:space="0" w:color="auto"/>
              <w:right w:val="single" w:sz="4" w:space="0" w:color="auto"/>
            </w:tcBorders>
            <w:shd w:val="clear" w:color="auto" w:fill="ED7D31" w:themeFill="accent2"/>
            <w:vAlign w:val="center"/>
            <w:hideMark/>
          </w:tcPr>
          <w:p w:rsidR="001A6622" w:rsidRPr="003B1FCE" w:rsidRDefault="001A6622" w:rsidP="00FF7BD9">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3a Evaluación Vinculante, respecto de la 1a Evaluación Vinculante</w:t>
            </w:r>
          </w:p>
        </w:tc>
        <w:tc>
          <w:tcPr>
            <w:tcW w:w="990" w:type="dxa"/>
            <w:tcBorders>
              <w:top w:val="nil"/>
              <w:left w:val="nil"/>
              <w:bottom w:val="single" w:sz="4" w:space="0" w:color="auto"/>
              <w:right w:val="single" w:sz="4" w:space="0" w:color="auto"/>
            </w:tcBorders>
            <w:shd w:val="clear" w:color="auto" w:fill="ED7D31" w:themeFill="accent2"/>
            <w:vAlign w:val="center"/>
            <w:hideMark/>
          </w:tcPr>
          <w:p w:rsidR="001A6622" w:rsidRPr="003B1FCE" w:rsidRDefault="001A6622" w:rsidP="00FF7BD9">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Mejoría</w:t>
            </w:r>
          </w:p>
        </w:tc>
      </w:tr>
      <w:tr w:rsidR="001A6622" w:rsidRPr="003B1FCE" w:rsidTr="00FF7B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w:t>
            </w:r>
          </w:p>
        </w:tc>
        <w:tc>
          <w:tcPr>
            <w:tcW w:w="4352"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94.79</w:t>
            </w:r>
          </w:p>
        </w:tc>
        <w:tc>
          <w:tcPr>
            <w:tcW w:w="170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5.21</w:t>
            </w:r>
          </w:p>
        </w:tc>
      </w:tr>
      <w:tr w:rsidR="001A6622" w:rsidRPr="003B1FCE" w:rsidTr="00FF7B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2</w:t>
            </w:r>
          </w:p>
        </w:tc>
        <w:tc>
          <w:tcPr>
            <w:tcW w:w="4352"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Jefatura de Gobierno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93.20</w:t>
            </w:r>
          </w:p>
        </w:tc>
        <w:tc>
          <w:tcPr>
            <w:tcW w:w="170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6.80</w:t>
            </w:r>
          </w:p>
        </w:tc>
      </w:tr>
      <w:tr w:rsidR="001A6622" w:rsidRPr="003B1FCE" w:rsidTr="00FF7B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3</w:t>
            </w:r>
          </w:p>
        </w:tc>
        <w:tc>
          <w:tcPr>
            <w:tcW w:w="4352"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Contraloría General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97.89</w:t>
            </w:r>
          </w:p>
        </w:tc>
        <w:tc>
          <w:tcPr>
            <w:tcW w:w="170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2.11</w:t>
            </w:r>
          </w:p>
        </w:tc>
      </w:tr>
      <w:tr w:rsidR="001A6622" w:rsidRPr="003B1FCE" w:rsidTr="00FF7B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4</w:t>
            </w:r>
          </w:p>
        </w:tc>
        <w:tc>
          <w:tcPr>
            <w:tcW w:w="4352"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Movilidad</w:t>
            </w:r>
          </w:p>
        </w:tc>
        <w:tc>
          <w:tcPr>
            <w:tcW w:w="1559"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94.57</w:t>
            </w:r>
          </w:p>
        </w:tc>
        <w:tc>
          <w:tcPr>
            <w:tcW w:w="170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5.43</w:t>
            </w:r>
          </w:p>
        </w:tc>
      </w:tr>
      <w:tr w:rsidR="001A6622" w:rsidRPr="003B1FCE" w:rsidTr="00FF7B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5</w:t>
            </w:r>
          </w:p>
        </w:tc>
        <w:tc>
          <w:tcPr>
            <w:tcW w:w="4352"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Desarrollo Económico</w:t>
            </w:r>
          </w:p>
        </w:tc>
        <w:tc>
          <w:tcPr>
            <w:tcW w:w="1559"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88.93</w:t>
            </w:r>
          </w:p>
        </w:tc>
        <w:tc>
          <w:tcPr>
            <w:tcW w:w="170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11.07</w:t>
            </w:r>
          </w:p>
        </w:tc>
      </w:tr>
      <w:tr w:rsidR="001A6622" w:rsidRPr="003B1FCE" w:rsidTr="00FF7B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6</w:t>
            </w:r>
          </w:p>
        </w:tc>
        <w:tc>
          <w:tcPr>
            <w:tcW w:w="4352"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Seguridad Pública</w:t>
            </w:r>
          </w:p>
        </w:tc>
        <w:tc>
          <w:tcPr>
            <w:tcW w:w="1559"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87.06</w:t>
            </w:r>
          </w:p>
        </w:tc>
        <w:tc>
          <w:tcPr>
            <w:tcW w:w="170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12.94</w:t>
            </w:r>
          </w:p>
        </w:tc>
      </w:tr>
      <w:tr w:rsidR="001A6622" w:rsidRPr="003B1FCE" w:rsidTr="00FF7B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7</w:t>
            </w:r>
          </w:p>
        </w:tc>
        <w:tc>
          <w:tcPr>
            <w:tcW w:w="4352"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Consejería Jurídica y de Servicios Legales</w:t>
            </w:r>
          </w:p>
        </w:tc>
        <w:tc>
          <w:tcPr>
            <w:tcW w:w="1559"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95.96</w:t>
            </w:r>
          </w:p>
        </w:tc>
        <w:tc>
          <w:tcPr>
            <w:tcW w:w="170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4.04</w:t>
            </w:r>
          </w:p>
        </w:tc>
      </w:tr>
      <w:tr w:rsidR="001A6622" w:rsidRPr="003B1FCE" w:rsidTr="00FF7B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8</w:t>
            </w:r>
          </w:p>
        </w:tc>
        <w:tc>
          <w:tcPr>
            <w:tcW w:w="4352"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Gobierno</w:t>
            </w:r>
          </w:p>
        </w:tc>
        <w:tc>
          <w:tcPr>
            <w:tcW w:w="1559"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82.12</w:t>
            </w:r>
          </w:p>
        </w:tc>
        <w:tc>
          <w:tcPr>
            <w:tcW w:w="170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17.88</w:t>
            </w:r>
          </w:p>
        </w:tc>
      </w:tr>
      <w:tr w:rsidR="001A6622" w:rsidRPr="003B1FCE" w:rsidTr="00FF7B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w:t>
            </w:r>
          </w:p>
        </w:tc>
        <w:tc>
          <w:tcPr>
            <w:tcW w:w="4352"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Oficialía Mayor</w:t>
            </w:r>
          </w:p>
        </w:tc>
        <w:tc>
          <w:tcPr>
            <w:tcW w:w="1559"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69.27</w:t>
            </w:r>
          </w:p>
        </w:tc>
        <w:tc>
          <w:tcPr>
            <w:tcW w:w="170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30.73</w:t>
            </w:r>
          </w:p>
        </w:tc>
      </w:tr>
      <w:tr w:rsidR="001A6622" w:rsidRPr="003B1FCE" w:rsidTr="00FF7B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lastRenderedPageBreak/>
              <w:t>10</w:t>
            </w:r>
          </w:p>
        </w:tc>
        <w:tc>
          <w:tcPr>
            <w:tcW w:w="4352"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Desarrollo Rural y Equidad para las Comunidades</w:t>
            </w:r>
          </w:p>
        </w:tc>
        <w:tc>
          <w:tcPr>
            <w:tcW w:w="1559"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77.44</w:t>
            </w:r>
          </w:p>
        </w:tc>
        <w:tc>
          <w:tcPr>
            <w:tcW w:w="170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99.86</w:t>
            </w:r>
          </w:p>
        </w:tc>
        <w:tc>
          <w:tcPr>
            <w:tcW w:w="990"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22.43</w:t>
            </w:r>
          </w:p>
        </w:tc>
      </w:tr>
      <w:tr w:rsidR="001A6622" w:rsidRPr="003B1FCE" w:rsidTr="00FF7B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11</w:t>
            </w:r>
          </w:p>
        </w:tc>
        <w:tc>
          <w:tcPr>
            <w:tcW w:w="4352"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Obras y Servicios</w:t>
            </w:r>
          </w:p>
        </w:tc>
        <w:tc>
          <w:tcPr>
            <w:tcW w:w="1559"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97.11</w:t>
            </w:r>
          </w:p>
        </w:tc>
        <w:tc>
          <w:tcPr>
            <w:tcW w:w="170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99.67</w:t>
            </w:r>
          </w:p>
        </w:tc>
        <w:tc>
          <w:tcPr>
            <w:tcW w:w="990"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2.56</w:t>
            </w:r>
          </w:p>
        </w:tc>
      </w:tr>
      <w:tr w:rsidR="001A6622" w:rsidRPr="003B1FCE" w:rsidTr="00FF7B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12</w:t>
            </w:r>
          </w:p>
        </w:tc>
        <w:tc>
          <w:tcPr>
            <w:tcW w:w="4352"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Salud</w:t>
            </w:r>
          </w:p>
        </w:tc>
        <w:tc>
          <w:tcPr>
            <w:tcW w:w="1559"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93.58</w:t>
            </w:r>
          </w:p>
        </w:tc>
        <w:tc>
          <w:tcPr>
            <w:tcW w:w="170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99.43</w:t>
            </w:r>
          </w:p>
        </w:tc>
        <w:tc>
          <w:tcPr>
            <w:tcW w:w="990"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5.84</w:t>
            </w:r>
          </w:p>
        </w:tc>
      </w:tr>
      <w:tr w:rsidR="001A6622" w:rsidRPr="003B1FCE" w:rsidTr="00FF7B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13</w:t>
            </w:r>
          </w:p>
        </w:tc>
        <w:tc>
          <w:tcPr>
            <w:tcW w:w="4352"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Trabajo y Fomento al Empleo</w:t>
            </w:r>
          </w:p>
        </w:tc>
        <w:tc>
          <w:tcPr>
            <w:tcW w:w="1559"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37.43</w:t>
            </w:r>
          </w:p>
        </w:tc>
        <w:tc>
          <w:tcPr>
            <w:tcW w:w="170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98.70</w:t>
            </w:r>
          </w:p>
        </w:tc>
        <w:tc>
          <w:tcPr>
            <w:tcW w:w="990"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61.28</w:t>
            </w:r>
          </w:p>
        </w:tc>
      </w:tr>
      <w:tr w:rsidR="001A6622" w:rsidRPr="003B1FCE" w:rsidTr="00FF7B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14</w:t>
            </w:r>
          </w:p>
        </w:tc>
        <w:tc>
          <w:tcPr>
            <w:tcW w:w="4352"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del Medio Ambiente</w:t>
            </w:r>
          </w:p>
        </w:tc>
        <w:tc>
          <w:tcPr>
            <w:tcW w:w="1559"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97.53</w:t>
            </w:r>
          </w:p>
        </w:tc>
        <w:tc>
          <w:tcPr>
            <w:tcW w:w="170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97.82</w:t>
            </w:r>
          </w:p>
        </w:tc>
        <w:tc>
          <w:tcPr>
            <w:tcW w:w="990"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0.29</w:t>
            </w:r>
          </w:p>
        </w:tc>
      </w:tr>
      <w:tr w:rsidR="001A6622" w:rsidRPr="003B1FCE" w:rsidTr="00FF7B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15</w:t>
            </w:r>
          </w:p>
        </w:tc>
        <w:tc>
          <w:tcPr>
            <w:tcW w:w="4352"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Ciencia, Tecnología e Innovación</w:t>
            </w:r>
          </w:p>
        </w:tc>
        <w:tc>
          <w:tcPr>
            <w:tcW w:w="1559"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76.56</w:t>
            </w:r>
          </w:p>
        </w:tc>
        <w:tc>
          <w:tcPr>
            <w:tcW w:w="170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94.22</w:t>
            </w:r>
          </w:p>
        </w:tc>
        <w:tc>
          <w:tcPr>
            <w:tcW w:w="990"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17.66</w:t>
            </w:r>
          </w:p>
        </w:tc>
      </w:tr>
      <w:tr w:rsidR="001A6622" w:rsidRPr="003B1FCE" w:rsidTr="00FF7B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16</w:t>
            </w:r>
          </w:p>
        </w:tc>
        <w:tc>
          <w:tcPr>
            <w:tcW w:w="4352"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Desarrollo Urbano y Vivienda</w:t>
            </w:r>
          </w:p>
        </w:tc>
        <w:tc>
          <w:tcPr>
            <w:tcW w:w="1559"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85.74</w:t>
            </w:r>
          </w:p>
        </w:tc>
        <w:tc>
          <w:tcPr>
            <w:tcW w:w="170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91.99</w:t>
            </w:r>
          </w:p>
        </w:tc>
        <w:tc>
          <w:tcPr>
            <w:tcW w:w="990"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6.26</w:t>
            </w:r>
          </w:p>
        </w:tc>
      </w:tr>
      <w:tr w:rsidR="001A6622" w:rsidRPr="003B1FCE" w:rsidTr="00FF7B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17</w:t>
            </w:r>
          </w:p>
        </w:tc>
        <w:tc>
          <w:tcPr>
            <w:tcW w:w="4352"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Turismo</w:t>
            </w:r>
          </w:p>
        </w:tc>
        <w:tc>
          <w:tcPr>
            <w:tcW w:w="1559"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68.07</w:t>
            </w:r>
          </w:p>
        </w:tc>
        <w:tc>
          <w:tcPr>
            <w:tcW w:w="170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91.41</w:t>
            </w:r>
          </w:p>
        </w:tc>
        <w:tc>
          <w:tcPr>
            <w:tcW w:w="990"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23.33</w:t>
            </w:r>
          </w:p>
        </w:tc>
      </w:tr>
      <w:tr w:rsidR="001A6622" w:rsidRPr="003B1FCE" w:rsidTr="00FF7B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18</w:t>
            </w:r>
          </w:p>
        </w:tc>
        <w:tc>
          <w:tcPr>
            <w:tcW w:w="4352"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Protección Civil</w:t>
            </w:r>
          </w:p>
        </w:tc>
        <w:tc>
          <w:tcPr>
            <w:tcW w:w="1559"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71.98</w:t>
            </w:r>
          </w:p>
        </w:tc>
        <w:tc>
          <w:tcPr>
            <w:tcW w:w="170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89.61</w:t>
            </w:r>
          </w:p>
        </w:tc>
        <w:tc>
          <w:tcPr>
            <w:tcW w:w="990"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17.63</w:t>
            </w:r>
          </w:p>
        </w:tc>
      </w:tr>
      <w:tr w:rsidR="001A6622" w:rsidRPr="003B1FCE" w:rsidTr="00FF7B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19</w:t>
            </w:r>
          </w:p>
        </w:tc>
        <w:tc>
          <w:tcPr>
            <w:tcW w:w="4352"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Secretaría de Cultura</w:t>
            </w:r>
          </w:p>
        </w:tc>
        <w:tc>
          <w:tcPr>
            <w:tcW w:w="1559"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20.18</w:t>
            </w:r>
          </w:p>
        </w:tc>
        <w:tc>
          <w:tcPr>
            <w:tcW w:w="170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88.56</w:t>
            </w:r>
          </w:p>
        </w:tc>
        <w:tc>
          <w:tcPr>
            <w:tcW w:w="990"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68.38</w:t>
            </w:r>
          </w:p>
        </w:tc>
      </w:tr>
      <w:tr w:rsidR="001A6622" w:rsidRPr="003B1FCE" w:rsidTr="00FF7B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20</w:t>
            </w:r>
          </w:p>
        </w:tc>
        <w:tc>
          <w:tcPr>
            <w:tcW w:w="4352"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 xml:space="preserve">Comisión para la Reconstrucción, Recuperación y Transformación de la Ciudad de México, en una CDMX cada vez más </w:t>
            </w:r>
            <w:proofErr w:type="spellStart"/>
            <w:r w:rsidRPr="003B1FCE">
              <w:rPr>
                <w:rFonts w:ascii="Arial" w:hAnsi="Arial" w:cs="Arial"/>
                <w:color w:val="000000" w:themeColor="text1"/>
                <w:sz w:val="20"/>
                <w:szCs w:val="20"/>
              </w:rPr>
              <w:t>resiliente</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69.52</w:t>
            </w:r>
          </w:p>
        </w:tc>
        <w:tc>
          <w:tcPr>
            <w:tcW w:w="170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71.12</w:t>
            </w:r>
          </w:p>
        </w:tc>
        <w:tc>
          <w:tcPr>
            <w:tcW w:w="990"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1.60</w:t>
            </w:r>
          </w:p>
        </w:tc>
      </w:tr>
      <w:tr w:rsidR="001A6622" w:rsidRPr="003B1FCE" w:rsidTr="00FF7B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21</w:t>
            </w:r>
          </w:p>
        </w:tc>
        <w:tc>
          <w:tcPr>
            <w:tcW w:w="4352"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rPr>
                <w:rFonts w:ascii="Arial" w:hAnsi="Arial" w:cs="Arial"/>
                <w:color w:val="000000" w:themeColor="text1"/>
                <w:sz w:val="20"/>
                <w:szCs w:val="20"/>
              </w:rPr>
            </w:pPr>
            <w:r w:rsidRPr="003B1FCE">
              <w:rPr>
                <w:rFonts w:ascii="Arial" w:hAnsi="Arial" w:cs="Arial"/>
                <w:color w:val="000000" w:themeColor="text1"/>
                <w:sz w:val="20"/>
                <w:szCs w:val="20"/>
              </w:rPr>
              <w:t>Procuraduría General de Justicia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44.11</w:t>
            </w:r>
          </w:p>
        </w:tc>
        <w:tc>
          <w:tcPr>
            <w:tcW w:w="1703"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54.37</w:t>
            </w:r>
          </w:p>
        </w:tc>
        <w:tc>
          <w:tcPr>
            <w:tcW w:w="990" w:type="dxa"/>
            <w:tcBorders>
              <w:top w:val="nil"/>
              <w:left w:val="nil"/>
              <w:bottom w:val="single" w:sz="4" w:space="0" w:color="auto"/>
              <w:right w:val="single" w:sz="4" w:space="0" w:color="auto"/>
            </w:tcBorders>
            <w:shd w:val="clear" w:color="auto" w:fill="auto"/>
            <w:vAlign w:val="center"/>
            <w:hideMark/>
          </w:tcPr>
          <w:p w:rsidR="001A6622" w:rsidRPr="003B1FCE" w:rsidRDefault="001A6622" w:rsidP="00FF7BD9">
            <w:pPr>
              <w:jc w:val="center"/>
              <w:rPr>
                <w:rFonts w:ascii="Arial" w:hAnsi="Arial" w:cs="Arial"/>
                <w:color w:val="000000" w:themeColor="text1"/>
                <w:sz w:val="20"/>
                <w:szCs w:val="20"/>
              </w:rPr>
            </w:pPr>
            <w:r w:rsidRPr="003B1FCE">
              <w:rPr>
                <w:rFonts w:ascii="Arial" w:hAnsi="Arial" w:cs="Arial"/>
                <w:color w:val="000000" w:themeColor="text1"/>
                <w:sz w:val="20"/>
                <w:szCs w:val="20"/>
              </w:rPr>
              <w:t>10.26</w:t>
            </w:r>
          </w:p>
        </w:tc>
      </w:tr>
    </w:tbl>
    <w:p w:rsidR="001A6622" w:rsidRPr="003B1FCE" w:rsidRDefault="001A6622" w:rsidP="001A6622">
      <w:pPr>
        <w:spacing w:before="100" w:beforeAutospacing="1" w:after="100" w:afterAutospacing="1" w:line="360" w:lineRule="auto"/>
        <w:contextualSpacing/>
        <w:jc w:val="both"/>
        <w:rPr>
          <w:rFonts w:ascii="Arial" w:hAnsi="Arial" w:cs="Arial"/>
          <w:color w:val="000000" w:themeColor="text1"/>
        </w:rPr>
      </w:pPr>
    </w:p>
    <w:p w:rsidR="001A6622" w:rsidRPr="003B1FCE" w:rsidRDefault="001A6622" w:rsidP="001A6622">
      <w:pPr>
        <w:spacing w:before="100" w:beforeAutospacing="1" w:after="100" w:afterAutospacing="1" w:line="360" w:lineRule="auto"/>
        <w:jc w:val="both"/>
        <w:rPr>
          <w:rFonts w:ascii="Arial" w:hAnsi="Arial" w:cs="Arial"/>
          <w:color w:val="000000" w:themeColor="text1"/>
        </w:rPr>
      </w:pPr>
      <w:r w:rsidRPr="003B1FCE">
        <w:rPr>
          <w:rFonts w:ascii="Arial" w:hAnsi="Arial" w:cs="Arial"/>
          <w:color w:val="000000" w:themeColor="text1"/>
        </w:rPr>
        <w:t xml:space="preserve">Con relación a las recomendaciones y observaciones emitidas al Poder Ejecutivo – Administración Central, todos los sujetos obligados que integran el ámbito atendieron las mismas; sin embargo, únicamente nueve cumplieron con la totalidad </w:t>
      </w:r>
      <w:r w:rsidRPr="003B1FCE">
        <w:rPr>
          <w:rFonts w:ascii="Arial" w:hAnsi="Arial" w:cs="Arial"/>
          <w:color w:val="000000" w:themeColor="text1"/>
        </w:rPr>
        <w:lastRenderedPageBreak/>
        <w:t>de las recomendaciones, alcanzando un IGOT de 100%; mientras que el 12 continúa presentando áreas oportunidad.</w:t>
      </w:r>
    </w:p>
    <w:p w:rsidR="001A6622" w:rsidRPr="003B1FCE" w:rsidRDefault="001A6622" w:rsidP="001A6622">
      <w:pPr>
        <w:spacing w:before="100" w:beforeAutospacing="1" w:after="100" w:afterAutospacing="1" w:line="360" w:lineRule="auto"/>
        <w:jc w:val="both"/>
        <w:rPr>
          <w:rFonts w:ascii="Arial" w:hAnsi="Arial" w:cs="Arial"/>
          <w:color w:val="000000" w:themeColor="text1"/>
        </w:rPr>
      </w:pPr>
      <w:r w:rsidRPr="003B1FCE">
        <w:rPr>
          <w:rFonts w:ascii="Arial" w:hAnsi="Arial" w:cs="Arial"/>
          <w:color w:val="000000" w:themeColor="text1"/>
        </w:rPr>
        <w:t xml:space="preserve">Es importante destacar que dos sujetos obligados pasaron de estar en un incumplimiento parcial a un cumplimiento parcial y un sujeto obligado, aún y cuando aumento su IGOT, continua en un incumplimiento parcial con 54.37%. </w:t>
      </w:r>
    </w:p>
    <w:p w:rsidR="00FF7BD9" w:rsidRPr="003B1FCE" w:rsidRDefault="001A6622" w:rsidP="00FF7BD9">
      <w:pPr>
        <w:spacing w:before="100" w:beforeAutospacing="1" w:after="100" w:afterAutospacing="1" w:line="360" w:lineRule="auto"/>
        <w:jc w:val="both"/>
        <w:rPr>
          <w:rFonts w:ascii="Arial" w:hAnsi="Arial" w:cs="Arial"/>
          <w:color w:val="000000" w:themeColor="text1"/>
        </w:rPr>
      </w:pPr>
      <w:r w:rsidRPr="003B1FCE">
        <w:rPr>
          <w:rFonts w:ascii="Arial" w:hAnsi="Arial" w:cs="Arial"/>
          <w:color w:val="000000" w:themeColor="text1"/>
        </w:rPr>
        <w:t>Asimismo, ocho tienen un IGOT ente 90% e inferior al 100% y tres presentan un IGOT entre 70% y 89%. Los sujetos de este ámbito tuvieron una mejoría promedio en su índice de 15.89 puntos.</w:t>
      </w:r>
    </w:p>
    <w:p w:rsidR="00D23BCA" w:rsidRPr="003B1FCE" w:rsidRDefault="00D23BCA" w:rsidP="000D019A">
      <w:pPr>
        <w:pStyle w:val="Ttulo1"/>
        <w:contextualSpacing/>
        <w:rPr>
          <w:rFonts w:ascii="Arial" w:hAnsi="Arial" w:cs="Arial"/>
          <w:b/>
          <w:color w:val="000000" w:themeColor="text1"/>
          <w:sz w:val="24"/>
          <w:szCs w:val="24"/>
        </w:rPr>
      </w:pPr>
      <w:bookmarkStart w:id="15" w:name="_Toc26913254"/>
      <w:r w:rsidRPr="003B1FCE">
        <w:rPr>
          <w:rFonts w:ascii="Arial" w:hAnsi="Arial" w:cs="Arial"/>
          <w:b/>
          <w:color w:val="000000" w:themeColor="text1"/>
          <w:sz w:val="24"/>
          <w:szCs w:val="24"/>
        </w:rPr>
        <w:t xml:space="preserve">PODER EJECUTIVO – </w:t>
      </w:r>
      <w:r w:rsidR="00D26BD3" w:rsidRPr="003B1FCE">
        <w:rPr>
          <w:rFonts w:ascii="Arial" w:hAnsi="Arial" w:cs="Arial"/>
          <w:b/>
          <w:color w:val="000000" w:themeColor="text1"/>
          <w:sz w:val="24"/>
          <w:szCs w:val="24"/>
        </w:rPr>
        <w:t>ÓRGANOS DESCONCENTRADOS, FONDOS Y FIDEICOMISOS</w:t>
      </w:r>
      <w:bookmarkEnd w:id="15"/>
      <w:r w:rsidR="00D26BD3" w:rsidRPr="003B1FCE">
        <w:rPr>
          <w:rFonts w:ascii="Arial" w:hAnsi="Arial" w:cs="Arial"/>
          <w:b/>
          <w:color w:val="000000" w:themeColor="text1"/>
          <w:sz w:val="24"/>
          <w:szCs w:val="24"/>
        </w:rPr>
        <w:t xml:space="preserve"> </w:t>
      </w:r>
    </w:p>
    <w:p w:rsidR="00D23BCA" w:rsidRPr="003B1FCE" w:rsidRDefault="00D23BCA" w:rsidP="00D23BCA">
      <w:pPr>
        <w:contextualSpacing/>
        <w:rPr>
          <w:rFonts w:ascii="Arial" w:hAnsi="Arial" w:cs="Arial"/>
        </w:rPr>
      </w:pPr>
    </w:p>
    <w:p w:rsidR="00D23BCA" w:rsidRPr="003B1FCE" w:rsidRDefault="00D23BCA" w:rsidP="00D23BCA">
      <w:pPr>
        <w:spacing w:before="100" w:beforeAutospacing="1" w:after="100" w:afterAutospacing="1" w:line="360" w:lineRule="auto"/>
        <w:contextualSpacing/>
        <w:jc w:val="both"/>
        <w:rPr>
          <w:rFonts w:ascii="Arial" w:hAnsi="Arial" w:cs="Arial"/>
        </w:rPr>
      </w:pPr>
      <w:r w:rsidRPr="003B1FCE">
        <w:rPr>
          <w:rFonts w:ascii="Arial" w:hAnsi="Arial" w:cs="Arial"/>
        </w:rPr>
        <w:t xml:space="preserve">El ámbito del Poder Ejecutivo – </w:t>
      </w:r>
      <w:r w:rsidR="00D26BD3" w:rsidRPr="003B1FCE">
        <w:rPr>
          <w:rFonts w:ascii="Arial" w:hAnsi="Arial" w:cs="Arial"/>
        </w:rPr>
        <w:t xml:space="preserve">Órganos Desconcentrados, Fondos y Fideicomisos (Órganos Desconcentrados) </w:t>
      </w:r>
      <w:r w:rsidRPr="003B1FCE">
        <w:rPr>
          <w:rFonts w:ascii="Arial" w:hAnsi="Arial" w:cs="Arial"/>
        </w:rPr>
        <w:t xml:space="preserve">está integrado por </w:t>
      </w:r>
      <w:r w:rsidR="00F04A2C" w:rsidRPr="003B1FCE">
        <w:rPr>
          <w:rFonts w:ascii="Arial" w:hAnsi="Arial" w:cs="Arial"/>
        </w:rPr>
        <w:t>6</w:t>
      </w:r>
      <w:r w:rsidR="00725577" w:rsidRPr="003B1FCE">
        <w:rPr>
          <w:rFonts w:ascii="Arial" w:hAnsi="Arial" w:cs="Arial"/>
        </w:rPr>
        <w:t>5</w:t>
      </w:r>
      <w:r w:rsidRPr="003B1FCE">
        <w:rPr>
          <w:rFonts w:ascii="Arial" w:hAnsi="Arial" w:cs="Arial"/>
        </w:rPr>
        <w:t xml:space="preserve"> sujetos obligados, de conformidad con el Padrón de sujetos obligados supeditados al cumplimiento de la Ley de Transparencia, Acceso a la Información Pública y Rendición de Cuentas de la Ciudad de México</w:t>
      </w:r>
      <w:r w:rsidRPr="003B1FCE" w:rsidDel="005B5D1B">
        <w:rPr>
          <w:rFonts w:ascii="Arial" w:hAnsi="Arial" w:cs="Arial"/>
        </w:rPr>
        <w:t xml:space="preserve"> </w:t>
      </w:r>
      <w:r w:rsidRPr="003B1FCE">
        <w:rPr>
          <w:rFonts w:ascii="Arial" w:hAnsi="Arial" w:cs="Arial"/>
        </w:rPr>
        <w:t xml:space="preserve">y de la Ley de Protección de Datos Personales en Posesión de los sujetos obligados de la Ciudad de México vigente al 31 de diciembre de 2018. </w:t>
      </w:r>
      <w:r w:rsidR="00725577" w:rsidRPr="003B1FCE">
        <w:rPr>
          <w:rFonts w:ascii="Arial" w:hAnsi="Arial" w:cs="Arial"/>
        </w:rPr>
        <w:t xml:space="preserve">65 sujetos </w:t>
      </w:r>
      <w:r w:rsidRPr="003B1FCE">
        <w:rPr>
          <w:rFonts w:ascii="Arial" w:hAnsi="Arial" w:cs="Arial"/>
        </w:rPr>
        <w:t xml:space="preserve">de este ámbito fueron evaluados debido a que ninguno alcanzó el cumplimiento total de sus obligaciones de transparencia en la Primera Evaluación Vinculante 2019. </w:t>
      </w:r>
    </w:p>
    <w:p w:rsidR="00D23BCA" w:rsidRPr="003B1FCE" w:rsidRDefault="00D23BCA" w:rsidP="00D23BCA">
      <w:pPr>
        <w:spacing w:before="100" w:beforeAutospacing="1" w:after="100" w:afterAutospacing="1" w:line="360" w:lineRule="auto"/>
        <w:contextualSpacing/>
        <w:jc w:val="both"/>
        <w:rPr>
          <w:rFonts w:ascii="Arial" w:hAnsi="Arial" w:cs="Arial"/>
        </w:rPr>
      </w:pPr>
    </w:p>
    <w:p w:rsidR="00D23BCA" w:rsidRPr="003B1FCE" w:rsidRDefault="00D23BCA" w:rsidP="00D23BCA">
      <w:pPr>
        <w:spacing w:before="100" w:beforeAutospacing="1" w:after="100" w:afterAutospacing="1" w:line="360" w:lineRule="auto"/>
        <w:contextualSpacing/>
        <w:jc w:val="both"/>
        <w:rPr>
          <w:rFonts w:ascii="Arial" w:hAnsi="Arial" w:cs="Arial"/>
        </w:rPr>
      </w:pPr>
      <w:r w:rsidRPr="003B1FCE">
        <w:rPr>
          <w:rFonts w:ascii="Arial" w:hAnsi="Arial" w:cs="Arial"/>
        </w:rPr>
        <w:t xml:space="preserve">Los sujetos obligados, así como su Índice de Cumplimiento de obligaciones de transparencia del Portal de Internet (IGOT-PI), el de la Plataforma Nacional de Transparencia (IGOT-PNT) y el Índice General de Cumplimiento de obligaciones de transparencia (IGOT) se presentan en la siguiente tabla, ordenados de forma descendente, respecto del IGOT: </w:t>
      </w:r>
    </w:p>
    <w:p w:rsidR="00D23BCA" w:rsidRPr="003B1FCE" w:rsidRDefault="00D23BCA" w:rsidP="00D23BCA">
      <w:pPr>
        <w:spacing w:before="100" w:beforeAutospacing="1" w:after="100" w:afterAutospacing="1" w:line="360" w:lineRule="auto"/>
        <w:contextualSpacing/>
        <w:jc w:val="both"/>
        <w:rPr>
          <w:rFonts w:ascii="Arial" w:hAnsi="Arial" w:cs="Arial"/>
        </w:rPr>
      </w:pPr>
    </w:p>
    <w:tbl>
      <w:tblPr>
        <w:tblW w:w="8926" w:type="dxa"/>
        <w:tblCellMar>
          <w:left w:w="70" w:type="dxa"/>
          <w:right w:w="70" w:type="dxa"/>
        </w:tblCellMar>
        <w:tblLook w:val="04A0" w:firstRow="1" w:lastRow="0" w:firstColumn="1" w:lastColumn="0" w:noHBand="0" w:noVBand="1"/>
      </w:tblPr>
      <w:tblGrid>
        <w:gridCol w:w="529"/>
        <w:gridCol w:w="5136"/>
        <w:gridCol w:w="1123"/>
        <w:gridCol w:w="1263"/>
        <w:gridCol w:w="875"/>
      </w:tblGrid>
      <w:tr w:rsidR="00D23BCA" w:rsidRPr="003B1FCE" w:rsidTr="00B018FB">
        <w:trPr>
          <w:trHeight w:val="860"/>
          <w:tblHeader/>
        </w:trPr>
        <w:tc>
          <w:tcPr>
            <w:tcW w:w="8926" w:type="dxa"/>
            <w:gridSpan w:val="5"/>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D23BCA" w:rsidRPr="003B1FCE" w:rsidRDefault="00D23BCA" w:rsidP="00D23BCA">
            <w:pPr>
              <w:jc w:val="center"/>
              <w:rPr>
                <w:rFonts w:ascii="Arial" w:hAnsi="Arial" w:cs="Arial"/>
                <w:b/>
                <w:bCs/>
                <w:color w:val="000000"/>
                <w:sz w:val="20"/>
                <w:szCs w:val="20"/>
              </w:rPr>
            </w:pPr>
            <w:r w:rsidRPr="003B1FCE">
              <w:rPr>
                <w:rFonts w:ascii="Arial" w:hAnsi="Arial" w:cs="Arial"/>
                <w:b/>
                <w:bCs/>
                <w:color w:val="000000"/>
                <w:sz w:val="20"/>
                <w:szCs w:val="20"/>
              </w:rPr>
              <w:lastRenderedPageBreak/>
              <w:t>Resultados de la Tercera Evaluación Vinculante 2019, respecto de las recomendaciones y observaciones de la Primera Evaluación Vinculante 2019</w:t>
            </w:r>
          </w:p>
        </w:tc>
      </w:tr>
      <w:tr w:rsidR="00D23BCA" w:rsidRPr="003B1FCE" w:rsidTr="00B018FB">
        <w:trPr>
          <w:trHeight w:val="340"/>
          <w:tblHeader/>
        </w:trPr>
        <w:tc>
          <w:tcPr>
            <w:tcW w:w="529" w:type="dxa"/>
            <w:tcBorders>
              <w:top w:val="nil"/>
              <w:left w:val="single" w:sz="4" w:space="0" w:color="auto"/>
              <w:bottom w:val="single" w:sz="4" w:space="0" w:color="auto"/>
              <w:right w:val="single" w:sz="4" w:space="0" w:color="auto"/>
            </w:tcBorders>
            <w:shd w:val="clear" w:color="auto" w:fill="ED7D31" w:themeFill="accent2"/>
            <w:vAlign w:val="center"/>
            <w:hideMark/>
          </w:tcPr>
          <w:p w:rsidR="00D23BCA" w:rsidRPr="003B1FCE" w:rsidRDefault="00D23BCA" w:rsidP="00D23BCA">
            <w:pPr>
              <w:jc w:val="center"/>
              <w:rPr>
                <w:rFonts w:ascii="Arial" w:hAnsi="Arial" w:cs="Arial"/>
                <w:b/>
                <w:bCs/>
                <w:color w:val="000000"/>
                <w:sz w:val="20"/>
                <w:szCs w:val="20"/>
              </w:rPr>
            </w:pPr>
            <w:r w:rsidRPr="003B1FCE">
              <w:rPr>
                <w:rFonts w:ascii="Arial" w:hAnsi="Arial" w:cs="Arial"/>
                <w:b/>
                <w:bCs/>
                <w:color w:val="000000"/>
                <w:sz w:val="20"/>
                <w:szCs w:val="20"/>
              </w:rPr>
              <w:t>No.</w:t>
            </w:r>
          </w:p>
        </w:tc>
        <w:tc>
          <w:tcPr>
            <w:tcW w:w="5136" w:type="dxa"/>
            <w:tcBorders>
              <w:top w:val="nil"/>
              <w:left w:val="nil"/>
              <w:bottom w:val="single" w:sz="4" w:space="0" w:color="auto"/>
              <w:right w:val="single" w:sz="4" w:space="0" w:color="auto"/>
            </w:tcBorders>
            <w:shd w:val="clear" w:color="auto" w:fill="ED7D31" w:themeFill="accent2"/>
            <w:vAlign w:val="center"/>
            <w:hideMark/>
          </w:tcPr>
          <w:p w:rsidR="00D23BCA" w:rsidRPr="003B1FCE" w:rsidRDefault="00D23BCA" w:rsidP="00D23BCA">
            <w:pPr>
              <w:jc w:val="center"/>
              <w:rPr>
                <w:rFonts w:ascii="Arial" w:hAnsi="Arial" w:cs="Arial"/>
                <w:b/>
                <w:bCs/>
                <w:color w:val="000000"/>
                <w:sz w:val="20"/>
                <w:szCs w:val="20"/>
              </w:rPr>
            </w:pPr>
            <w:r w:rsidRPr="003B1FCE">
              <w:rPr>
                <w:rFonts w:ascii="Arial" w:hAnsi="Arial" w:cs="Arial"/>
                <w:b/>
                <w:bCs/>
                <w:color w:val="000000"/>
                <w:sz w:val="20"/>
                <w:szCs w:val="20"/>
              </w:rPr>
              <w:t>Sujeto obligado</w:t>
            </w:r>
          </w:p>
        </w:tc>
        <w:tc>
          <w:tcPr>
            <w:tcW w:w="1123" w:type="dxa"/>
            <w:tcBorders>
              <w:top w:val="nil"/>
              <w:left w:val="nil"/>
              <w:bottom w:val="single" w:sz="4" w:space="0" w:color="auto"/>
              <w:right w:val="single" w:sz="4" w:space="0" w:color="auto"/>
            </w:tcBorders>
            <w:shd w:val="clear" w:color="auto" w:fill="ED7D31" w:themeFill="accent2"/>
            <w:vAlign w:val="center"/>
            <w:hideMark/>
          </w:tcPr>
          <w:p w:rsidR="00D23BCA" w:rsidRPr="003B1FCE" w:rsidRDefault="00D23BCA" w:rsidP="00D23BCA">
            <w:pPr>
              <w:jc w:val="center"/>
              <w:rPr>
                <w:rFonts w:ascii="Arial" w:hAnsi="Arial" w:cs="Arial"/>
                <w:b/>
                <w:bCs/>
                <w:color w:val="000000"/>
                <w:sz w:val="20"/>
                <w:szCs w:val="20"/>
              </w:rPr>
            </w:pPr>
            <w:r w:rsidRPr="003B1FCE">
              <w:rPr>
                <w:rFonts w:ascii="Arial" w:hAnsi="Arial" w:cs="Arial"/>
                <w:b/>
                <w:bCs/>
                <w:color w:val="000000"/>
                <w:sz w:val="20"/>
                <w:szCs w:val="20"/>
              </w:rPr>
              <w:t>ICOT-PI</w:t>
            </w:r>
          </w:p>
        </w:tc>
        <w:tc>
          <w:tcPr>
            <w:tcW w:w="1263" w:type="dxa"/>
            <w:tcBorders>
              <w:top w:val="nil"/>
              <w:left w:val="nil"/>
              <w:bottom w:val="single" w:sz="4" w:space="0" w:color="auto"/>
              <w:right w:val="single" w:sz="4" w:space="0" w:color="auto"/>
            </w:tcBorders>
            <w:shd w:val="clear" w:color="auto" w:fill="ED7D31" w:themeFill="accent2"/>
            <w:vAlign w:val="center"/>
            <w:hideMark/>
          </w:tcPr>
          <w:p w:rsidR="00D23BCA" w:rsidRPr="003B1FCE" w:rsidRDefault="00D23BCA" w:rsidP="00D23BCA">
            <w:pPr>
              <w:jc w:val="center"/>
              <w:rPr>
                <w:rFonts w:ascii="Arial" w:hAnsi="Arial" w:cs="Arial"/>
                <w:b/>
                <w:bCs/>
                <w:color w:val="000000"/>
                <w:sz w:val="20"/>
                <w:szCs w:val="20"/>
              </w:rPr>
            </w:pPr>
            <w:r w:rsidRPr="003B1FCE">
              <w:rPr>
                <w:rFonts w:ascii="Arial" w:hAnsi="Arial" w:cs="Arial"/>
                <w:b/>
                <w:bCs/>
                <w:color w:val="000000"/>
                <w:sz w:val="20"/>
                <w:szCs w:val="20"/>
              </w:rPr>
              <w:t>ICOT-PNT</w:t>
            </w:r>
          </w:p>
        </w:tc>
        <w:tc>
          <w:tcPr>
            <w:tcW w:w="875" w:type="dxa"/>
            <w:tcBorders>
              <w:top w:val="nil"/>
              <w:left w:val="nil"/>
              <w:bottom w:val="single" w:sz="4" w:space="0" w:color="auto"/>
              <w:right w:val="single" w:sz="4" w:space="0" w:color="auto"/>
            </w:tcBorders>
            <w:shd w:val="clear" w:color="auto" w:fill="ED7D31" w:themeFill="accent2"/>
            <w:vAlign w:val="center"/>
            <w:hideMark/>
          </w:tcPr>
          <w:p w:rsidR="00D23BCA" w:rsidRPr="003B1FCE" w:rsidRDefault="00D23BCA" w:rsidP="00D23BCA">
            <w:pPr>
              <w:jc w:val="center"/>
              <w:rPr>
                <w:rFonts w:ascii="Arial" w:hAnsi="Arial" w:cs="Arial"/>
                <w:b/>
                <w:bCs/>
                <w:color w:val="000000"/>
                <w:sz w:val="20"/>
                <w:szCs w:val="20"/>
              </w:rPr>
            </w:pPr>
            <w:r w:rsidRPr="003B1FCE">
              <w:rPr>
                <w:rFonts w:ascii="Arial" w:hAnsi="Arial" w:cs="Arial"/>
                <w:b/>
                <w:bCs/>
                <w:color w:val="000000"/>
                <w:sz w:val="20"/>
                <w:szCs w:val="20"/>
              </w:rPr>
              <w:t>IGOT</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Fondo Mixto de Promoción Turística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2</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Instituto de las Mujeres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3</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Corporación Mexicana de Impresión, S.A. de C.V.</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4</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Sistema para el Desarrollo Integral de la Familia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5</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Caja de Previsión de la Policía Preventiva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6</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Sistema de Aguas de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7</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Caja de Previsión de la Policía Auxiliar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Policía Bancaria e Industrial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Secretaría Ejecutiva del Mecanismo de Seguimiento y Evaluación del Programa de Derechos Humanos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99.96</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99.98</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99.97</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Policía Auxiliar</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99.89</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99.85</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99.87</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11</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Instituto de Formación Profesional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99.73</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99.86</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12</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Junta de Asistencia Privada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99.80</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99.78</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99.79</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13</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Procuraduría Ambiental y del Ordenamiento Territorial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99.06</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99.53</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14</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Fideicomiso de Recuperación Crediticia de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99.45</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99.48</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99.47</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15</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Fondo Ambiental Público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98.90</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99.45</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lastRenderedPageBreak/>
              <w:t>16</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Servicios de Salud Pública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99.50</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99.06</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99.28</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17</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Sistema de Movilidad 1</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99.57</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98.89</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99.23</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18</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Caja de Previsión para Trabajadores a Lista de Raya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98.81</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99.38</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99.10</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19</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Instituto de Vivienda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99.02</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99.02</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99.02</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20</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Servicio de Transportes Eléctricos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98.65</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99.07</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98.86</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21</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Instituto de Verificación Administrativa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98.51</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98.67</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98.59</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22</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Autoridad del Centro Histórico</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96.49</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98.25</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23</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Fondo de Desarrollo Económico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96.67</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99.48</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98.07</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24</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Consejo para Prevenir y Eliminar la Discriminación de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97.40</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97.37</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97.39</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25</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Escuela de Administración Pública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95.78</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98.28</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97.03</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26</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Fondo para el Desarrollo Social de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98.10</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95.33</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96.71</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27</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Fideicomiso Público del Fondo de Apoyo a la Procuración de Justicia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93.58</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99.09</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96.34</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28</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Universidad de la Policía de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95.89</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95.54</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95.72</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29</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Instituto Local de la Infraestructura Física Educativa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95.74</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95.14</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95.44</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30</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Fideicomiso Museo de Arte Popular Mexicano</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97.06</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93.49</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95.28</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lastRenderedPageBreak/>
              <w:t>31</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Comisión de Filmaciones de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94.64</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95.26</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94.95</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32</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Instituto para la Atención y Prevención de las Adicciones en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89.91</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99.04</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94.47</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33</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Instituto del Deporte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93.83</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94.46</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94.15</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34</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Instituto de las Personas con Discapacidad de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93.81</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94.32</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94.06</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35</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Instituto de Educación Media Superior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94.07</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93.87</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93.97</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36</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Fondo para la Atención y Apoyo a las Víctimas del Delito</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87.03</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98.42</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92.72</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37</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Instituto de Capacitación para el Trabajo de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87.88</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97.50</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92.69</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38</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Coordinación de los Centros de Transferencia Modal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91.87</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90.64</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91.25</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39</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Fideicomiso Centro Histórico de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88.99</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92.68</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90.84</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40</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Procuraduría Social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85.98</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93.41</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89.70</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41</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Fideicomiso Museo del Estanquillo</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93.27</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85.10</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89.18</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42</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Fideicomiso Educación Garantizada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87.71</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89.94</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88.82</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43</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Sistema de Transporte Colectivo</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90.27</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85.56</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87.92</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44</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Agencia de Protección Sanitaria del Gobierno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80.16</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92.75</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86.46</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45</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Sistema de Radio y Televisión Digital del Gobierno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84.66</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87.66</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86.16</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lastRenderedPageBreak/>
              <w:t>46</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Consejo de Evaluación del Desarrollo Social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74.57</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87.91</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81.24</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47</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Autoridad de la Zona Patrimonio Mundial Natural y Cultural de la Humanidad en Xochimilco, Tláhuac y Milpa Alta</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74.79</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86.96</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80.88</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48</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Instituto para la Seguridad de las Construcciones en 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80.89</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79.64</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80.26</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49</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Agencia de Gestión Urbana de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76.62</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78.58</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77.60</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50</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Consejo Económico y Social de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82.36</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69.47</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75.91</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51</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Instituto de la Juventud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76.05</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72.63</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74.34</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52</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Fideicomiso Fondo para el Desarrollo Económico y Social de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60.92</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83.16</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72.04</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53</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Servicios Metropolitanos, S.A. de C.V.</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66.08</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77.71</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71.89</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54</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Autoridad del Espacio Público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66.65</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74.05</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70.35</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55</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Fideicomiso Público de la Zona de Santa Fe</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56.46</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72.50</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64.48</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56</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Mecanismo de Protección Integral de Personas Defensoras de Derechos Humanos y Periodistas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35.50</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92.68</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64.09</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57</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PROCDMX, S.A. de C.V.</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65.66</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58.32</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61.99</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58</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Heroico Cuerpo de Bomberos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57.26</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54.98</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56.12</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59</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Proyecto Metro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33.37</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43.97</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38.67</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60</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Planta de Asfalto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53.43</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21.32</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37.38</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lastRenderedPageBreak/>
              <w:t>61</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Fideicomiso para la Promoción y Desarrollo del Cine Mexicano en el Distrito Federal</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42.60</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6.13</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24.36</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62</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Fideicomiso para el Fondo de Promoción para el Financiamiento del Transporte Público</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17.88</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15.00</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16.44</w:t>
            </w:r>
          </w:p>
        </w:tc>
      </w:tr>
      <w:tr w:rsidR="004F4C6E" w:rsidRPr="003B1FCE" w:rsidTr="004F4C6E">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63</w:t>
            </w:r>
          </w:p>
        </w:tc>
        <w:tc>
          <w:tcPr>
            <w:tcW w:w="5136"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rPr>
                <w:rFonts w:ascii="Arial" w:hAnsi="Arial" w:cs="Arial"/>
                <w:color w:val="000000"/>
                <w:sz w:val="20"/>
                <w:szCs w:val="20"/>
              </w:rPr>
            </w:pPr>
            <w:r w:rsidRPr="003B1FCE">
              <w:rPr>
                <w:rFonts w:ascii="Arial" w:hAnsi="Arial" w:cs="Arial"/>
                <w:color w:val="000000"/>
                <w:sz w:val="20"/>
                <w:szCs w:val="20"/>
              </w:rPr>
              <w:t>Fideicomiso Público Complejo Ambiental Xochimilco</w:t>
            </w:r>
          </w:p>
        </w:tc>
        <w:tc>
          <w:tcPr>
            <w:tcW w:w="112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5.00</w:t>
            </w:r>
          </w:p>
        </w:tc>
        <w:tc>
          <w:tcPr>
            <w:tcW w:w="1263"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10.00</w:t>
            </w:r>
          </w:p>
        </w:tc>
        <w:tc>
          <w:tcPr>
            <w:tcW w:w="875" w:type="dxa"/>
            <w:tcBorders>
              <w:top w:val="nil"/>
              <w:left w:val="nil"/>
              <w:bottom w:val="single" w:sz="4" w:space="0" w:color="auto"/>
              <w:right w:val="single" w:sz="4" w:space="0" w:color="auto"/>
            </w:tcBorders>
            <w:shd w:val="clear" w:color="auto" w:fill="auto"/>
            <w:vAlign w:val="center"/>
            <w:hideMark/>
          </w:tcPr>
          <w:p w:rsidR="004F4C6E" w:rsidRPr="003B1FCE" w:rsidRDefault="004F4C6E" w:rsidP="004F4C6E">
            <w:pPr>
              <w:jc w:val="center"/>
              <w:rPr>
                <w:rFonts w:ascii="Arial" w:hAnsi="Arial" w:cs="Arial"/>
                <w:color w:val="000000"/>
                <w:sz w:val="20"/>
                <w:szCs w:val="20"/>
              </w:rPr>
            </w:pPr>
            <w:r w:rsidRPr="003B1FCE">
              <w:rPr>
                <w:rFonts w:ascii="Arial" w:hAnsi="Arial" w:cs="Arial"/>
                <w:color w:val="000000"/>
                <w:sz w:val="20"/>
                <w:szCs w:val="20"/>
              </w:rPr>
              <w:t>7.50</w:t>
            </w:r>
          </w:p>
        </w:tc>
      </w:tr>
    </w:tbl>
    <w:p w:rsidR="00D23BCA" w:rsidRPr="003B1FCE" w:rsidRDefault="00D23BCA" w:rsidP="00D23BCA">
      <w:pPr>
        <w:spacing w:before="100" w:beforeAutospacing="1" w:after="100" w:afterAutospacing="1" w:line="360" w:lineRule="auto"/>
        <w:contextualSpacing/>
        <w:jc w:val="both"/>
        <w:rPr>
          <w:rFonts w:ascii="Arial" w:hAnsi="Arial" w:cs="Arial"/>
          <w:sz w:val="16"/>
          <w:szCs w:val="16"/>
        </w:rPr>
      </w:pPr>
      <w:r w:rsidRPr="003B1FCE">
        <w:rPr>
          <w:rFonts w:ascii="Arial" w:hAnsi="Arial" w:cs="Arial"/>
          <w:b/>
          <w:sz w:val="16"/>
          <w:szCs w:val="16"/>
        </w:rPr>
        <w:t>Nota metodológica</w:t>
      </w:r>
      <w:r w:rsidRPr="003B1FCE">
        <w:rPr>
          <w:rFonts w:ascii="Arial" w:hAnsi="Arial" w:cs="Arial"/>
          <w:sz w:val="16"/>
          <w:szCs w:val="16"/>
        </w:rPr>
        <w:t xml:space="preserve">: </w:t>
      </w:r>
    </w:p>
    <w:p w:rsidR="00D23BCA" w:rsidRPr="003B1FCE" w:rsidRDefault="00D23BCA" w:rsidP="00D23BCA">
      <w:pPr>
        <w:spacing w:before="100" w:beforeAutospacing="1" w:after="100" w:afterAutospacing="1" w:line="360" w:lineRule="auto"/>
        <w:contextualSpacing/>
        <w:jc w:val="both"/>
        <w:rPr>
          <w:rFonts w:ascii="Arial" w:hAnsi="Arial" w:cs="Arial"/>
          <w:sz w:val="16"/>
          <w:szCs w:val="16"/>
        </w:rPr>
      </w:pPr>
      <w:r w:rsidRPr="003B1FCE">
        <w:rPr>
          <w:rFonts w:ascii="Arial" w:hAnsi="Arial" w:cs="Arial"/>
          <w:sz w:val="16"/>
          <w:szCs w:val="16"/>
        </w:rPr>
        <w:t>El IGOT se compone del promedio de ICOT-PI e ICOT-PNT.</w:t>
      </w:r>
    </w:p>
    <w:p w:rsidR="00D23BCA" w:rsidRPr="003B1FCE" w:rsidRDefault="00D23BCA" w:rsidP="00D23BCA">
      <w:pPr>
        <w:spacing w:before="100" w:beforeAutospacing="1" w:after="100" w:afterAutospacing="1" w:line="360" w:lineRule="auto"/>
        <w:contextualSpacing/>
        <w:jc w:val="both"/>
        <w:rPr>
          <w:rFonts w:ascii="Arial" w:hAnsi="Arial" w:cs="Arial"/>
          <w:color w:val="000000"/>
          <w:sz w:val="16"/>
          <w:szCs w:val="16"/>
        </w:rPr>
      </w:pPr>
      <w:r w:rsidRPr="003B1FCE">
        <w:rPr>
          <w:rFonts w:ascii="Arial" w:hAnsi="Arial" w:cs="Arial"/>
          <w:b/>
          <w:bCs/>
          <w:color w:val="000000"/>
          <w:sz w:val="16"/>
          <w:szCs w:val="16"/>
        </w:rPr>
        <w:t>%</w:t>
      </w:r>
      <w:proofErr w:type="spellStart"/>
      <w:r w:rsidRPr="003B1FCE">
        <w:rPr>
          <w:rFonts w:ascii="Arial" w:hAnsi="Arial" w:cs="Arial"/>
          <w:b/>
          <w:bCs/>
          <w:color w:val="000000"/>
          <w:sz w:val="16"/>
          <w:szCs w:val="16"/>
        </w:rPr>
        <w:t>Inf</w:t>
      </w:r>
      <w:proofErr w:type="spellEnd"/>
      <w:r w:rsidRPr="003B1FCE">
        <w:rPr>
          <w:rFonts w:ascii="Arial" w:hAnsi="Arial" w:cs="Arial"/>
          <w:b/>
          <w:bCs/>
          <w:color w:val="000000"/>
          <w:sz w:val="16"/>
          <w:szCs w:val="16"/>
        </w:rPr>
        <w:t xml:space="preserve"> PI:</w:t>
      </w:r>
      <w:r w:rsidRPr="003B1FCE">
        <w:rPr>
          <w:rFonts w:ascii="Arial" w:hAnsi="Arial" w:cs="Arial"/>
          <w:color w:val="000000"/>
          <w:sz w:val="16"/>
          <w:szCs w:val="16"/>
        </w:rPr>
        <w:t xml:space="preserve"> corresponde al porcentaje del índice que hace referencia a la información que se encuentra publicada y actualizada en el Portal de Internet (PI) del sujeto obligado. </w:t>
      </w:r>
    </w:p>
    <w:p w:rsidR="00D23BCA" w:rsidRPr="003B1FCE" w:rsidRDefault="00D23BCA" w:rsidP="00D23BCA">
      <w:pPr>
        <w:spacing w:before="100" w:beforeAutospacing="1" w:after="100" w:afterAutospacing="1" w:line="360" w:lineRule="auto"/>
        <w:contextualSpacing/>
        <w:jc w:val="both"/>
        <w:rPr>
          <w:rFonts w:ascii="Arial" w:hAnsi="Arial" w:cs="Arial"/>
          <w:color w:val="000000"/>
          <w:sz w:val="16"/>
          <w:szCs w:val="16"/>
        </w:rPr>
      </w:pPr>
      <w:r w:rsidRPr="003B1FCE">
        <w:rPr>
          <w:rFonts w:ascii="Arial" w:hAnsi="Arial" w:cs="Arial"/>
          <w:b/>
          <w:bCs/>
          <w:color w:val="000000"/>
          <w:sz w:val="16"/>
          <w:szCs w:val="16"/>
        </w:rPr>
        <w:t>%</w:t>
      </w:r>
      <w:proofErr w:type="spellStart"/>
      <w:r w:rsidRPr="003B1FCE">
        <w:rPr>
          <w:rFonts w:ascii="Arial" w:hAnsi="Arial" w:cs="Arial"/>
          <w:b/>
          <w:bCs/>
          <w:color w:val="000000"/>
          <w:sz w:val="16"/>
          <w:szCs w:val="16"/>
        </w:rPr>
        <w:t>Inf</w:t>
      </w:r>
      <w:proofErr w:type="spellEnd"/>
      <w:r w:rsidRPr="003B1FCE">
        <w:rPr>
          <w:rFonts w:ascii="Arial" w:hAnsi="Arial" w:cs="Arial"/>
          <w:b/>
          <w:bCs/>
          <w:color w:val="000000"/>
          <w:sz w:val="16"/>
          <w:szCs w:val="16"/>
        </w:rPr>
        <w:t xml:space="preserve"> PNT:</w:t>
      </w:r>
      <w:r w:rsidRPr="003B1FCE">
        <w:rPr>
          <w:rFonts w:ascii="Arial" w:hAnsi="Arial" w:cs="Arial"/>
          <w:color w:val="000000"/>
          <w:sz w:val="16"/>
          <w:szCs w:val="16"/>
        </w:rPr>
        <w:t xml:space="preserve"> corresponde al porcentaje del índice que hace referencia a la información que se encuentra publicada y actualizada en la Plataforma Nacional de Transparencia (PNT) del sujeto obligado.</w:t>
      </w:r>
    </w:p>
    <w:p w:rsidR="00D23BCA" w:rsidRPr="003B1FCE" w:rsidRDefault="00D23BCA" w:rsidP="00D23BCA">
      <w:pPr>
        <w:spacing w:before="100" w:beforeAutospacing="1" w:after="100" w:afterAutospacing="1" w:line="360" w:lineRule="auto"/>
        <w:contextualSpacing/>
        <w:jc w:val="both"/>
        <w:rPr>
          <w:rFonts w:ascii="Arial" w:hAnsi="Arial" w:cs="Arial"/>
          <w:color w:val="000000"/>
          <w:sz w:val="16"/>
          <w:szCs w:val="16"/>
        </w:rPr>
      </w:pPr>
      <w:r w:rsidRPr="003B1FCE">
        <w:rPr>
          <w:rFonts w:ascii="Arial" w:hAnsi="Arial" w:cs="Arial"/>
          <w:b/>
          <w:bCs/>
          <w:color w:val="000000"/>
          <w:sz w:val="16"/>
          <w:szCs w:val="16"/>
        </w:rPr>
        <w:t>%</w:t>
      </w:r>
      <w:proofErr w:type="spellStart"/>
      <w:r w:rsidRPr="003B1FCE">
        <w:rPr>
          <w:rFonts w:ascii="Arial" w:hAnsi="Arial" w:cs="Arial"/>
          <w:b/>
          <w:bCs/>
          <w:color w:val="000000"/>
          <w:sz w:val="16"/>
          <w:szCs w:val="16"/>
        </w:rPr>
        <w:t>Inf</w:t>
      </w:r>
      <w:proofErr w:type="spellEnd"/>
      <w:r w:rsidRPr="003B1FCE">
        <w:rPr>
          <w:rFonts w:ascii="Arial" w:hAnsi="Arial" w:cs="Arial"/>
          <w:b/>
          <w:bCs/>
          <w:color w:val="000000"/>
          <w:sz w:val="16"/>
          <w:szCs w:val="16"/>
        </w:rPr>
        <w:t xml:space="preserve"> IGOT: </w:t>
      </w:r>
      <w:r w:rsidRPr="003B1FCE">
        <w:rPr>
          <w:rFonts w:ascii="Arial" w:hAnsi="Arial" w:cs="Arial"/>
          <w:color w:val="000000"/>
          <w:sz w:val="16"/>
          <w:szCs w:val="16"/>
        </w:rPr>
        <w:t>corresponde al porcentaje del índice que hace referencia a la información que se encuentra publicada y actualizada tanto en la PNT y el PI del sujeto obligado.</w:t>
      </w:r>
    </w:p>
    <w:p w:rsidR="00D23BCA" w:rsidRPr="003B1FCE" w:rsidRDefault="00D23BCA" w:rsidP="00D23BCA">
      <w:pPr>
        <w:spacing w:before="100" w:beforeAutospacing="1" w:after="100" w:afterAutospacing="1" w:line="360" w:lineRule="auto"/>
        <w:contextualSpacing/>
        <w:jc w:val="both"/>
        <w:rPr>
          <w:rFonts w:ascii="Arial" w:hAnsi="Arial" w:cs="Arial"/>
          <w:color w:val="000000"/>
        </w:rPr>
      </w:pPr>
    </w:p>
    <w:p w:rsidR="00D23BCA" w:rsidRPr="003B1FCE" w:rsidRDefault="00D23BCA" w:rsidP="00D23BCA">
      <w:pPr>
        <w:spacing w:before="100" w:beforeAutospacing="1" w:after="100" w:afterAutospacing="1" w:line="360" w:lineRule="auto"/>
        <w:contextualSpacing/>
        <w:jc w:val="both"/>
        <w:rPr>
          <w:rFonts w:ascii="Arial" w:hAnsi="Arial" w:cs="Arial"/>
        </w:rPr>
      </w:pPr>
      <w:r w:rsidRPr="003B1FCE">
        <w:rPr>
          <w:rFonts w:ascii="Arial" w:hAnsi="Arial" w:cs="Arial"/>
        </w:rPr>
        <w:t xml:space="preserve">En atención a la Tabla de Aplicabilidad realizada por la DEAEE del Instituto, las obligaciones que el Poder Ejecutivo – </w:t>
      </w:r>
      <w:r w:rsidR="00F04A2C" w:rsidRPr="003B1FCE">
        <w:rPr>
          <w:rFonts w:ascii="Arial" w:hAnsi="Arial" w:cs="Arial"/>
        </w:rPr>
        <w:t xml:space="preserve">Órganos Desconcentrados, Fondos y Fideicomisos </w:t>
      </w:r>
      <w:r w:rsidRPr="003B1FCE">
        <w:rPr>
          <w:rFonts w:ascii="Arial" w:hAnsi="Arial" w:cs="Arial"/>
        </w:rPr>
        <w:t xml:space="preserve">debe actualizar y publicar en el SIPOT de la PNT, así como en sus respectivos portales de internet son las contempladas en los siguientes artículos: </w:t>
      </w:r>
    </w:p>
    <w:p w:rsidR="00D23BCA" w:rsidRPr="003B1FCE" w:rsidRDefault="00D23BCA" w:rsidP="00FF7BD9">
      <w:pPr>
        <w:pStyle w:val="Prrafodelista"/>
        <w:numPr>
          <w:ilvl w:val="0"/>
          <w:numId w:val="12"/>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Artículo 121. Obligaciones comunes,</w:t>
      </w:r>
    </w:p>
    <w:p w:rsidR="00D23BCA" w:rsidRPr="003B1FCE" w:rsidRDefault="00D23BCA" w:rsidP="00FF7BD9">
      <w:pPr>
        <w:pStyle w:val="Prrafodelista"/>
        <w:numPr>
          <w:ilvl w:val="0"/>
          <w:numId w:val="12"/>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Artículo</w:t>
      </w:r>
      <w:r w:rsidR="00F04A2C" w:rsidRPr="003B1FCE">
        <w:rPr>
          <w:rFonts w:ascii="Arial" w:hAnsi="Arial" w:cs="Arial"/>
          <w:sz w:val="24"/>
          <w:szCs w:val="24"/>
        </w:rPr>
        <w:t xml:space="preserve"> </w:t>
      </w:r>
      <w:r w:rsidRPr="003B1FCE">
        <w:rPr>
          <w:rFonts w:ascii="Arial" w:hAnsi="Arial" w:cs="Arial"/>
          <w:sz w:val="24"/>
          <w:szCs w:val="24"/>
        </w:rPr>
        <w:t>12</w:t>
      </w:r>
      <w:r w:rsidR="00F04A2C" w:rsidRPr="003B1FCE">
        <w:rPr>
          <w:rFonts w:ascii="Arial" w:hAnsi="Arial" w:cs="Arial"/>
          <w:sz w:val="24"/>
          <w:szCs w:val="24"/>
        </w:rPr>
        <w:t>3</w:t>
      </w:r>
      <w:r w:rsidRPr="003B1FCE">
        <w:rPr>
          <w:rFonts w:ascii="Arial" w:hAnsi="Arial" w:cs="Arial"/>
          <w:sz w:val="24"/>
          <w:szCs w:val="24"/>
        </w:rPr>
        <w:t xml:space="preserve">. Obligaciones Específicas </w:t>
      </w:r>
      <w:r w:rsidR="00F04A2C" w:rsidRPr="003B1FCE">
        <w:rPr>
          <w:rFonts w:ascii="Arial" w:hAnsi="Arial" w:cs="Arial"/>
          <w:sz w:val="24"/>
          <w:szCs w:val="24"/>
        </w:rPr>
        <w:t>del Poder Ejecutivo,</w:t>
      </w:r>
    </w:p>
    <w:p w:rsidR="00F04A2C" w:rsidRPr="003B1FCE" w:rsidRDefault="00F04A2C" w:rsidP="00FF7BD9">
      <w:pPr>
        <w:pStyle w:val="Prrafodelista"/>
        <w:numPr>
          <w:ilvl w:val="0"/>
          <w:numId w:val="12"/>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135. Obligaciones Específicas de los Fideicomisos, Fondos Públicos y Otros Análogos, </w:t>
      </w:r>
    </w:p>
    <w:p w:rsidR="00D23BCA" w:rsidRPr="003B1FCE" w:rsidRDefault="00D23BCA" w:rsidP="00FF7BD9">
      <w:pPr>
        <w:pStyle w:val="Prrafodelista"/>
        <w:numPr>
          <w:ilvl w:val="0"/>
          <w:numId w:val="12"/>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Artículo 143. Disposiciones Particulares,</w:t>
      </w:r>
    </w:p>
    <w:p w:rsidR="00D23BCA" w:rsidRPr="003B1FCE" w:rsidRDefault="00D23BCA" w:rsidP="00FF7BD9">
      <w:pPr>
        <w:pStyle w:val="Prrafodelista"/>
        <w:numPr>
          <w:ilvl w:val="0"/>
          <w:numId w:val="12"/>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145. Disposiciones Particulares, </w:t>
      </w:r>
    </w:p>
    <w:p w:rsidR="00D23BCA" w:rsidRPr="003B1FCE" w:rsidRDefault="00D23BCA" w:rsidP="00FF7BD9">
      <w:pPr>
        <w:pStyle w:val="Prrafodelista"/>
        <w:numPr>
          <w:ilvl w:val="0"/>
          <w:numId w:val="12"/>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146. Disposiciones Particulares, </w:t>
      </w:r>
    </w:p>
    <w:p w:rsidR="00D23BCA" w:rsidRPr="003B1FCE" w:rsidRDefault="00D23BCA" w:rsidP="00FF7BD9">
      <w:pPr>
        <w:pStyle w:val="Prrafodelista"/>
        <w:numPr>
          <w:ilvl w:val="0"/>
          <w:numId w:val="12"/>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147. Disposiciones Particulares. </w:t>
      </w:r>
    </w:p>
    <w:p w:rsidR="00D23BCA" w:rsidRPr="003B1FCE" w:rsidRDefault="00D23BCA" w:rsidP="00F04A2C">
      <w:pPr>
        <w:pStyle w:val="Ttulo2"/>
        <w:contextualSpacing/>
        <w:jc w:val="both"/>
        <w:rPr>
          <w:rFonts w:ascii="Arial" w:hAnsi="Arial" w:cs="Arial"/>
        </w:rPr>
      </w:pPr>
      <w:bookmarkStart w:id="16" w:name="_Toc26913255"/>
      <w:r w:rsidRPr="003B1FCE">
        <w:rPr>
          <w:rFonts w:ascii="Arial" w:hAnsi="Arial" w:cs="Arial"/>
          <w:b/>
          <w:color w:val="auto"/>
          <w:sz w:val="24"/>
          <w:szCs w:val="24"/>
        </w:rPr>
        <w:lastRenderedPageBreak/>
        <w:t>Análisis global de cumplimiento de</w:t>
      </w:r>
      <w:r w:rsidRPr="003B1FCE">
        <w:rPr>
          <w:rFonts w:ascii="Arial" w:hAnsi="Arial" w:cs="Arial"/>
          <w:b/>
          <w:color w:val="000000" w:themeColor="text1"/>
          <w:sz w:val="24"/>
          <w:szCs w:val="24"/>
        </w:rPr>
        <w:t xml:space="preserve">l Poder Ejecutivo – </w:t>
      </w:r>
      <w:r w:rsidR="00F04A2C" w:rsidRPr="003B1FCE">
        <w:rPr>
          <w:rFonts w:ascii="Arial" w:hAnsi="Arial" w:cs="Arial"/>
          <w:b/>
          <w:color w:val="000000" w:themeColor="text1"/>
        </w:rPr>
        <w:t>Órganos Desconcentrados, Fondos y Fideicomisos</w:t>
      </w:r>
      <w:bookmarkEnd w:id="16"/>
    </w:p>
    <w:p w:rsidR="00D23BCA" w:rsidRPr="003B1FCE" w:rsidRDefault="00D23BCA" w:rsidP="00D23BCA">
      <w:pPr>
        <w:spacing w:before="100" w:beforeAutospacing="1" w:after="100" w:afterAutospacing="1" w:line="360" w:lineRule="auto"/>
        <w:contextualSpacing/>
        <w:jc w:val="both"/>
        <w:rPr>
          <w:rFonts w:ascii="Arial" w:hAnsi="Arial" w:cs="Arial"/>
          <w:u w:val="single"/>
        </w:rPr>
      </w:pPr>
      <w:r w:rsidRPr="003B1FCE">
        <w:rPr>
          <w:rFonts w:ascii="Arial" w:hAnsi="Arial" w:cs="Arial"/>
          <w:u w:val="single"/>
        </w:rPr>
        <w:t>Índices Globales de Cumplimiento de las obligaciones de transparencia</w:t>
      </w:r>
    </w:p>
    <w:p w:rsidR="00D23BCA" w:rsidRPr="003B1FCE" w:rsidRDefault="00D23BCA" w:rsidP="00D23BCA">
      <w:pPr>
        <w:spacing w:before="100" w:beforeAutospacing="1" w:after="100" w:afterAutospacing="1" w:line="360" w:lineRule="auto"/>
        <w:contextualSpacing/>
        <w:jc w:val="both"/>
        <w:rPr>
          <w:rFonts w:ascii="Arial" w:hAnsi="Arial" w:cs="Arial"/>
        </w:rPr>
      </w:pPr>
    </w:p>
    <w:p w:rsidR="00D23BCA" w:rsidRPr="003B1FCE" w:rsidRDefault="00D23BCA" w:rsidP="00D23BCA">
      <w:pPr>
        <w:spacing w:before="100" w:beforeAutospacing="1" w:after="100" w:afterAutospacing="1" w:line="360" w:lineRule="auto"/>
        <w:contextualSpacing/>
        <w:jc w:val="both"/>
        <w:rPr>
          <w:rFonts w:ascii="Arial" w:hAnsi="Arial" w:cs="Arial"/>
        </w:rPr>
      </w:pPr>
      <w:r w:rsidRPr="003B1FCE">
        <w:rPr>
          <w:rFonts w:ascii="Arial" w:hAnsi="Arial" w:cs="Arial"/>
        </w:rPr>
        <w:t xml:space="preserve">El ámbito del Poder Ejecutivo – </w:t>
      </w:r>
      <w:r w:rsidR="00F04A2C" w:rsidRPr="003B1FCE">
        <w:rPr>
          <w:rFonts w:ascii="Arial" w:hAnsi="Arial" w:cs="Arial"/>
        </w:rPr>
        <w:t>Órganos Desconcentrados, Fondos y Fideicomisos</w:t>
      </w:r>
      <w:r w:rsidRPr="003B1FCE">
        <w:rPr>
          <w:rFonts w:ascii="Arial" w:hAnsi="Arial" w:cs="Arial"/>
        </w:rPr>
        <w:t xml:space="preserve"> obtuvo un IGOT de </w:t>
      </w:r>
      <w:r w:rsidR="00F04A2C" w:rsidRPr="003B1FCE">
        <w:rPr>
          <w:rFonts w:ascii="Arial" w:hAnsi="Arial" w:cs="Arial"/>
        </w:rPr>
        <w:t>84.47</w:t>
      </w:r>
      <w:r w:rsidRPr="003B1FCE">
        <w:rPr>
          <w:rFonts w:ascii="Arial" w:hAnsi="Arial" w:cs="Arial"/>
        </w:rPr>
        <w:t xml:space="preserve">%, el cual está compuesto por un índice de </w:t>
      </w:r>
      <w:r w:rsidR="00F04A2C" w:rsidRPr="003B1FCE">
        <w:rPr>
          <w:rFonts w:ascii="Arial" w:hAnsi="Arial" w:cs="Arial"/>
        </w:rPr>
        <w:t>86.32</w:t>
      </w:r>
      <w:r w:rsidRPr="003B1FCE">
        <w:rPr>
          <w:rFonts w:ascii="Arial" w:hAnsi="Arial" w:cs="Arial"/>
        </w:rPr>
        <w:t xml:space="preserve">% en lo que corresponde a la Plataforma Nacional de Transparencia (PNT) y un índice de </w:t>
      </w:r>
      <w:r w:rsidR="00F04A2C" w:rsidRPr="003B1FCE">
        <w:rPr>
          <w:rFonts w:ascii="Arial" w:hAnsi="Arial" w:cs="Arial"/>
        </w:rPr>
        <w:t>84.61</w:t>
      </w:r>
      <w:r w:rsidRPr="003B1FCE">
        <w:rPr>
          <w:rFonts w:ascii="Arial" w:hAnsi="Arial" w:cs="Arial"/>
        </w:rPr>
        <w:t>% en lo que se refiere al Portal de Transparencia (PI).</w:t>
      </w:r>
    </w:p>
    <w:p w:rsidR="00D23BCA" w:rsidRPr="003B1FCE" w:rsidRDefault="00D23BCA" w:rsidP="00D23BCA">
      <w:pPr>
        <w:spacing w:before="100" w:beforeAutospacing="1" w:after="100" w:afterAutospacing="1" w:line="360" w:lineRule="auto"/>
        <w:contextualSpacing/>
        <w:jc w:val="both"/>
        <w:rPr>
          <w:rFonts w:ascii="Arial" w:hAnsi="Arial" w:cs="Arial"/>
        </w:rPr>
      </w:pPr>
    </w:p>
    <w:p w:rsidR="00F04A2C" w:rsidRPr="003B1FCE" w:rsidRDefault="00F32E3A" w:rsidP="00D23BCA">
      <w:pPr>
        <w:spacing w:before="100" w:beforeAutospacing="1" w:after="100" w:afterAutospacing="1" w:line="360" w:lineRule="auto"/>
        <w:contextualSpacing/>
        <w:jc w:val="both"/>
        <w:rPr>
          <w:rFonts w:ascii="Arial" w:hAnsi="Arial" w:cs="Arial"/>
        </w:rPr>
      </w:pPr>
      <w:r w:rsidRPr="003B1FCE">
        <w:rPr>
          <w:rFonts w:ascii="Arial" w:hAnsi="Arial" w:cs="Arial"/>
        </w:rPr>
        <w:t>Ocho</w:t>
      </w:r>
      <w:r w:rsidR="00F04A2C" w:rsidRPr="003B1FCE">
        <w:rPr>
          <w:rFonts w:ascii="Arial" w:hAnsi="Arial" w:cs="Arial"/>
        </w:rPr>
        <w:t xml:space="preserve"> Órganos Desconcentrados cumplieron totalmente con el piso mínimo contemplado en la Ley de Transparencia Local, 50 sujetos obligados se encuentran ubicados en un cumplimiento parcial y seis en un incumplimiento parcial. </w:t>
      </w:r>
    </w:p>
    <w:p w:rsidR="00F04A2C" w:rsidRPr="003B1FCE" w:rsidRDefault="00F04A2C" w:rsidP="00D23BCA">
      <w:pPr>
        <w:spacing w:before="100" w:beforeAutospacing="1" w:after="100" w:afterAutospacing="1" w:line="360" w:lineRule="auto"/>
        <w:contextualSpacing/>
        <w:jc w:val="both"/>
        <w:rPr>
          <w:rFonts w:ascii="Arial" w:hAnsi="Arial" w:cs="Arial"/>
        </w:rPr>
      </w:pPr>
    </w:p>
    <w:p w:rsidR="00B31CF3" w:rsidRPr="003B1FCE" w:rsidRDefault="00F04A2C" w:rsidP="00D23BCA">
      <w:pPr>
        <w:spacing w:before="100" w:beforeAutospacing="1" w:after="100" w:afterAutospacing="1" w:line="360" w:lineRule="auto"/>
        <w:contextualSpacing/>
        <w:jc w:val="both"/>
        <w:rPr>
          <w:rFonts w:ascii="Arial" w:hAnsi="Arial" w:cs="Arial"/>
        </w:rPr>
      </w:pPr>
      <w:r w:rsidRPr="003B1FCE">
        <w:rPr>
          <w:rFonts w:ascii="Arial" w:hAnsi="Arial" w:cs="Arial"/>
        </w:rPr>
        <w:t xml:space="preserve">De los </w:t>
      </w:r>
      <w:r w:rsidR="00F32E3A" w:rsidRPr="003B1FCE">
        <w:rPr>
          <w:rFonts w:ascii="Arial" w:hAnsi="Arial" w:cs="Arial"/>
        </w:rPr>
        <w:t>49</w:t>
      </w:r>
      <w:r w:rsidRPr="003B1FCE">
        <w:rPr>
          <w:rFonts w:ascii="Arial" w:hAnsi="Arial" w:cs="Arial"/>
        </w:rPr>
        <w:t xml:space="preserve"> sujetos que tuvieron un cumplimiento parcial, 3</w:t>
      </w:r>
      <w:r w:rsidR="00F32E3A" w:rsidRPr="003B1FCE">
        <w:rPr>
          <w:rFonts w:ascii="Arial" w:hAnsi="Arial" w:cs="Arial"/>
        </w:rPr>
        <w:t>1</w:t>
      </w:r>
      <w:r w:rsidRPr="003B1FCE">
        <w:rPr>
          <w:rFonts w:ascii="Arial" w:hAnsi="Arial" w:cs="Arial"/>
        </w:rPr>
        <w:t xml:space="preserve"> sujetos tuvieron un IGOT entre 90% y 99%; </w:t>
      </w:r>
      <w:r w:rsidR="00B31CF3" w:rsidRPr="003B1FCE">
        <w:rPr>
          <w:rFonts w:ascii="Arial" w:hAnsi="Arial" w:cs="Arial"/>
        </w:rPr>
        <w:t>nueve sujetos un IGOT entre 80% y 89%, seis entre 70% y 79% y tres entre 60% y 69%.</w:t>
      </w:r>
    </w:p>
    <w:p w:rsidR="00B31CF3" w:rsidRPr="003B1FCE" w:rsidRDefault="00B31CF3" w:rsidP="00D23BCA">
      <w:pPr>
        <w:spacing w:before="100" w:beforeAutospacing="1" w:after="100" w:afterAutospacing="1" w:line="360" w:lineRule="auto"/>
        <w:contextualSpacing/>
        <w:jc w:val="both"/>
        <w:rPr>
          <w:rFonts w:ascii="Arial" w:hAnsi="Arial" w:cs="Arial"/>
        </w:rPr>
      </w:pPr>
    </w:p>
    <w:p w:rsidR="00D23BCA" w:rsidRPr="003B1FCE" w:rsidRDefault="00B31CF3" w:rsidP="00D23BCA">
      <w:pPr>
        <w:spacing w:before="100" w:beforeAutospacing="1" w:after="100" w:afterAutospacing="1" w:line="360" w:lineRule="auto"/>
        <w:contextualSpacing/>
        <w:jc w:val="both"/>
        <w:rPr>
          <w:rFonts w:ascii="Arial" w:hAnsi="Arial" w:cs="Arial"/>
        </w:rPr>
      </w:pPr>
      <w:r w:rsidRPr="003B1FCE">
        <w:rPr>
          <w:rFonts w:ascii="Arial" w:hAnsi="Arial" w:cs="Arial"/>
        </w:rPr>
        <w:t xml:space="preserve">De los seis sujetos que tuvieron un incumplimiento parcial, un sujeto tuvo un IGOT entre 50% y 59%, dos un IGOT entre 30% y 39%, uno entre 20% y 29% y dos entre 7% y 19%. </w:t>
      </w:r>
    </w:p>
    <w:p w:rsidR="00B31CF3" w:rsidRPr="003B1FCE" w:rsidRDefault="00B31CF3" w:rsidP="00D23BCA">
      <w:pPr>
        <w:spacing w:before="100" w:beforeAutospacing="1" w:after="100" w:afterAutospacing="1" w:line="360" w:lineRule="auto"/>
        <w:contextualSpacing/>
        <w:jc w:val="both"/>
        <w:rPr>
          <w:rFonts w:ascii="Arial" w:hAnsi="Arial" w:cs="Arial"/>
        </w:rPr>
      </w:pPr>
    </w:p>
    <w:p w:rsidR="00D23BCA" w:rsidRPr="003B1FCE" w:rsidRDefault="00D23BCA" w:rsidP="00D23BCA">
      <w:pPr>
        <w:spacing w:before="100" w:beforeAutospacing="1" w:after="100" w:afterAutospacing="1" w:line="360" w:lineRule="auto"/>
        <w:contextualSpacing/>
        <w:jc w:val="both"/>
        <w:rPr>
          <w:rFonts w:ascii="Arial" w:hAnsi="Arial" w:cs="Arial"/>
        </w:rPr>
      </w:pPr>
      <w:r w:rsidRPr="003B1FCE">
        <w:rPr>
          <w:rFonts w:ascii="Arial" w:hAnsi="Arial" w:cs="Arial"/>
        </w:rPr>
        <w:t>Con relación a la Primera Evaluación Vinculante 2019, este ámbito tuvo un incremento sustantivo, puesto que pasó de tener un IGOT de 6</w:t>
      </w:r>
      <w:r w:rsidR="00B65C89" w:rsidRPr="003B1FCE">
        <w:rPr>
          <w:rFonts w:ascii="Arial" w:hAnsi="Arial" w:cs="Arial"/>
        </w:rPr>
        <w:t>9.64</w:t>
      </w:r>
      <w:r w:rsidRPr="003B1FCE">
        <w:rPr>
          <w:rFonts w:ascii="Arial" w:hAnsi="Arial" w:cs="Arial"/>
        </w:rPr>
        <w:t xml:space="preserve">% a uno de </w:t>
      </w:r>
      <w:r w:rsidR="00B65C89" w:rsidRPr="003B1FCE">
        <w:rPr>
          <w:rFonts w:ascii="Arial" w:hAnsi="Arial" w:cs="Arial"/>
        </w:rPr>
        <w:t>85.47</w:t>
      </w:r>
      <w:r w:rsidRPr="003B1FCE">
        <w:rPr>
          <w:rFonts w:ascii="Arial" w:hAnsi="Arial" w:cs="Arial"/>
        </w:rPr>
        <w:t xml:space="preserve">%; manteniéndose con un cumplimiento parcial de las obligaciones de transparencia de la Ley de Transparencia Local. Este ámbito tuvo un incremento de </w:t>
      </w:r>
      <w:r w:rsidR="00B65C89" w:rsidRPr="003B1FCE">
        <w:rPr>
          <w:rFonts w:ascii="Arial" w:hAnsi="Arial" w:cs="Arial"/>
        </w:rPr>
        <w:t>15.83</w:t>
      </w:r>
      <w:r w:rsidRPr="003B1FCE">
        <w:rPr>
          <w:rFonts w:ascii="Arial" w:hAnsi="Arial" w:cs="Arial"/>
        </w:rPr>
        <w:t xml:space="preserve">% dentro de su índice. </w:t>
      </w:r>
    </w:p>
    <w:p w:rsidR="00D23BCA" w:rsidRPr="003B1FCE" w:rsidRDefault="00D23BCA" w:rsidP="00D23BCA">
      <w:pPr>
        <w:spacing w:before="100" w:beforeAutospacing="1" w:after="100" w:afterAutospacing="1" w:line="360" w:lineRule="auto"/>
        <w:contextualSpacing/>
        <w:jc w:val="both"/>
        <w:rPr>
          <w:rFonts w:ascii="Arial" w:hAnsi="Arial" w:cs="Arial"/>
        </w:rPr>
      </w:pPr>
    </w:p>
    <w:p w:rsidR="00D23BCA" w:rsidRPr="003B1FCE" w:rsidRDefault="00D23BCA" w:rsidP="00D23BCA">
      <w:pPr>
        <w:spacing w:before="100" w:beforeAutospacing="1" w:after="100" w:afterAutospacing="1" w:line="360" w:lineRule="auto"/>
        <w:contextualSpacing/>
        <w:jc w:val="both"/>
        <w:rPr>
          <w:rFonts w:ascii="Arial" w:hAnsi="Arial" w:cs="Arial"/>
          <w:u w:val="single"/>
        </w:rPr>
      </w:pPr>
      <w:r w:rsidRPr="003B1FCE">
        <w:rPr>
          <w:rFonts w:ascii="Arial" w:hAnsi="Arial" w:cs="Arial"/>
          <w:u w:val="single"/>
        </w:rPr>
        <w:t xml:space="preserve">Cumplimiento diferenciado por artículos </w:t>
      </w:r>
    </w:p>
    <w:p w:rsidR="00D23BCA" w:rsidRPr="003B1FCE" w:rsidRDefault="00D23BCA" w:rsidP="00D23BCA">
      <w:pPr>
        <w:spacing w:before="100" w:beforeAutospacing="1" w:after="100" w:afterAutospacing="1" w:line="360" w:lineRule="auto"/>
        <w:contextualSpacing/>
        <w:jc w:val="both"/>
        <w:rPr>
          <w:rFonts w:ascii="Arial" w:hAnsi="Arial" w:cs="Arial"/>
          <w:u w:val="single"/>
        </w:rPr>
      </w:pPr>
    </w:p>
    <w:p w:rsidR="00D23BCA" w:rsidRPr="003B1FCE" w:rsidRDefault="00D23BCA" w:rsidP="00D23BCA">
      <w:pPr>
        <w:spacing w:before="100" w:beforeAutospacing="1" w:after="100" w:afterAutospacing="1" w:line="360" w:lineRule="auto"/>
        <w:contextualSpacing/>
        <w:jc w:val="both"/>
        <w:rPr>
          <w:rFonts w:ascii="Arial" w:hAnsi="Arial" w:cs="Arial"/>
        </w:rPr>
      </w:pPr>
      <w:r w:rsidRPr="003B1FCE">
        <w:rPr>
          <w:rFonts w:ascii="Arial" w:hAnsi="Arial" w:cs="Arial"/>
        </w:rPr>
        <w:lastRenderedPageBreak/>
        <w:t xml:space="preserve">Con relación al tipo de obligaciones de transparencia, este ámbito ha cumplido parcialmente con sus obligaciones comunes, específicas y disposiciones particulares, obteniendo un ICP de </w:t>
      </w:r>
      <w:r w:rsidR="00B65C89" w:rsidRPr="003B1FCE">
        <w:rPr>
          <w:rFonts w:ascii="Arial" w:hAnsi="Arial" w:cs="Arial"/>
        </w:rPr>
        <w:t>85.09</w:t>
      </w:r>
      <w:r w:rsidRPr="003B1FCE">
        <w:rPr>
          <w:rFonts w:ascii="Arial" w:hAnsi="Arial" w:cs="Arial"/>
        </w:rPr>
        <w:t xml:space="preserve">%, </w:t>
      </w:r>
      <w:r w:rsidR="00B65C89" w:rsidRPr="003B1FCE">
        <w:rPr>
          <w:rFonts w:ascii="Arial" w:hAnsi="Arial" w:cs="Arial"/>
        </w:rPr>
        <w:t>78.90</w:t>
      </w:r>
      <w:r w:rsidRPr="003B1FCE">
        <w:rPr>
          <w:rFonts w:ascii="Arial" w:hAnsi="Arial" w:cs="Arial"/>
        </w:rPr>
        <w:t xml:space="preserve">% y </w:t>
      </w:r>
      <w:r w:rsidR="00B65C89" w:rsidRPr="003B1FCE">
        <w:rPr>
          <w:rFonts w:ascii="Arial" w:hAnsi="Arial" w:cs="Arial"/>
        </w:rPr>
        <w:t>90.75</w:t>
      </w:r>
      <w:r w:rsidRPr="003B1FCE">
        <w:rPr>
          <w:rFonts w:ascii="Arial" w:hAnsi="Arial" w:cs="Arial"/>
        </w:rPr>
        <w:t xml:space="preserve">%, respectivamente. </w:t>
      </w:r>
    </w:p>
    <w:p w:rsidR="00D23BCA" w:rsidRPr="003B1FCE" w:rsidRDefault="00D23BCA" w:rsidP="00D23BCA">
      <w:pPr>
        <w:spacing w:before="100" w:beforeAutospacing="1" w:after="100" w:afterAutospacing="1" w:line="360" w:lineRule="auto"/>
        <w:contextualSpacing/>
        <w:jc w:val="both"/>
        <w:rPr>
          <w:rFonts w:ascii="Arial" w:hAnsi="Arial" w:cs="Arial"/>
        </w:rPr>
      </w:pPr>
    </w:p>
    <w:p w:rsidR="00D23BCA" w:rsidRPr="003B1FCE" w:rsidRDefault="00D23BCA" w:rsidP="00D23BCA">
      <w:pPr>
        <w:spacing w:before="100" w:beforeAutospacing="1" w:after="100" w:afterAutospacing="1" w:line="360" w:lineRule="auto"/>
        <w:contextualSpacing/>
        <w:jc w:val="both"/>
        <w:rPr>
          <w:rFonts w:ascii="Arial" w:hAnsi="Arial" w:cs="Arial"/>
        </w:rPr>
      </w:pPr>
      <w:r w:rsidRPr="003B1FCE">
        <w:rPr>
          <w:rFonts w:ascii="Arial" w:hAnsi="Arial" w:cs="Arial"/>
        </w:rPr>
        <w:t xml:space="preserve">En esta misma línea, por artículo obtuvieron los siguientes índices con relación a la Primera Evaluación Vinculante: </w:t>
      </w:r>
    </w:p>
    <w:tbl>
      <w:tblPr>
        <w:tblStyle w:val="Tablaconcuadrcula"/>
        <w:tblW w:w="0" w:type="auto"/>
        <w:tblLook w:val="04A0" w:firstRow="1" w:lastRow="0" w:firstColumn="1" w:lastColumn="0" w:noHBand="0" w:noVBand="1"/>
      </w:tblPr>
      <w:tblGrid>
        <w:gridCol w:w="3659"/>
        <w:gridCol w:w="2148"/>
        <w:gridCol w:w="2092"/>
        <w:gridCol w:w="12"/>
        <w:gridCol w:w="908"/>
      </w:tblGrid>
      <w:tr w:rsidR="00D23BCA" w:rsidRPr="003B1FCE" w:rsidTr="00B018FB">
        <w:tc>
          <w:tcPr>
            <w:tcW w:w="3659" w:type="dxa"/>
            <w:shd w:val="clear" w:color="auto" w:fill="ED7D31" w:themeFill="accent2"/>
          </w:tcPr>
          <w:p w:rsidR="00D23BCA" w:rsidRPr="003B1FCE" w:rsidRDefault="00D23BCA" w:rsidP="00D23BCA">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Artículo</w:t>
            </w:r>
          </w:p>
        </w:tc>
        <w:tc>
          <w:tcPr>
            <w:tcW w:w="2148" w:type="dxa"/>
            <w:shd w:val="clear" w:color="auto" w:fill="ED7D31" w:themeFill="accent2"/>
          </w:tcPr>
          <w:p w:rsidR="00D23BCA" w:rsidRPr="003B1FCE" w:rsidRDefault="00D23BCA" w:rsidP="00D23BCA">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ICP – 1ª Evaluación</w:t>
            </w:r>
          </w:p>
        </w:tc>
        <w:tc>
          <w:tcPr>
            <w:tcW w:w="2092" w:type="dxa"/>
            <w:shd w:val="clear" w:color="auto" w:fill="ED7D31" w:themeFill="accent2"/>
          </w:tcPr>
          <w:p w:rsidR="00D23BCA" w:rsidRPr="003B1FCE" w:rsidRDefault="00D23BCA" w:rsidP="00D23BCA">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ICP – 3ª Evaluación</w:t>
            </w:r>
          </w:p>
        </w:tc>
        <w:tc>
          <w:tcPr>
            <w:tcW w:w="920" w:type="dxa"/>
            <w:gridSpan w:val="2"/>
            <w:shd w:val="clear" w:color="auto" w:fill="ED7D31" w:themeFill="accent2"/>
          </w:tcPr>
          <w:p w:rsidR="00D23BCA" w:rsidRPr="003B1FCE" w:rsidRDefault="00D23BCA" w:rsidP="00D23BCA">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Mejoría</w:t>
            </w:r>
          </w:p>
        </w:tc>
      </w:tr>
      <w:tr w:rsidR="00DC25B3" w:rsidRPr="003B1FCE" w:rsidTr="00D23BCA">
        <w:tc>
          <w:tcPr>
            <w:tcW w:w="3659" w:type="dxa"/>
          </w:tcPr>
          <w:p w:rsidR="00DC25B3" w:rsidRPr="003B1FCE" w:rsidRDefault="00DC25B3" w:rsidP="00DC25B3">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121 – Obligaciones Comunes</w:t>
            </w:r>
          </w:p>
        </w:tc>
        <w:tc>
          <w:tcPr>
            <w:tcW w:w="2148" w:type="dxa"/>
            <w:vAlign w:val="center"/>
          </w:tcPr>
          <w:p w:rsidR="00DC25B3" w:rsidRPr="003B1FCE" w:rsidRDefault="00DC25B3" w:rsidP="00DC25B3">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68.34</w:t>
            </w:r>
          </w:p>
        </w:tc>
        <w:tc>
          <w:tcPr>
            <w:tcW w:w="2104" w:type="dxa"/>
            <w:gridSpan w:val="2"/>
            <w:vAlign w:val="center"/>
          </w:tcPr>
          <w:p w:rsidR="00DC25B3" w:rsidRPr="003B1FCE" w:rsidRDefault="00DC25B3" w:rsidP="00DC25B3">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85.09</w:t>
            </w:r>
          </w:p>
        </w:tc>
        <w:tc>
          <w:tcPr>
            <w:tcW w:w="908" w:type="dxa"/>
            <w:vAlign w:val="center"/>
          </w:tcPr>
          <w:p w:rsidR="00DC25B3" w:rsidRPr="003B1FCE" w:rsidRDefault="00DC25B3" w:rsidP="00DC25B3">
            <w:pPr>
              <w:jc w:val="center"/>
              <w:rPr>
                <w:rFonts w:ascii="Arial" w:hAnsi="Arial" w:cs="Arial"/>
                <w:color w:val="000000"/>
                <w:sz w:val="20"/>
                <w:szCs w:val="20"/>
              </w:rPr>
            </w:pPr>
            <w:r w:rsidRPr="003B1FCE">
              <w:rPr>
                <w:rFonts w:ascii="Arial" w:hAnsi="Arial" w:cs="Arial"/>
                <w:color w:val="000000"/>
                <w:sz w:val="20"/>
                <w:szCs w:val="20"/>
              </w:rPr>
              <w:t>16.75</w:t>
            </w:r>
          </w:p>
        </w:tc>
      </w:tr>
      <w:tr w:rsidR="00DC25B3" w:rsidRPr="003B1FCE" w:rsidTr="00D23BCA">
        <w:tc>
          <w:tcPr>
            <w:tcW w:w="3659" w:type="dxa"/>
          </w:tcPr>
          <w:p w:rsidR="00DC25B3" w:rsidRPr="003B1FCE" w:rsidRDefault="00DC25B3" w:rsidP="00DC25B3">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123 – Obligaciones Específicas del Poder Ejecutivo</w:t>
            </w:r>
          </w:p>
        </w:tc>
        <w:tc>
          <w:tcPr>
            <w:tcW w:w="2148" w:type="dxa"/>
            <w:vAlign w:val="center"/>
          </w:tcPr>
          <w:p w:rsidR="00DC25B3" w:rsidRPr="003B1FCE" w:rsidRDefault="00DC25B3" w:rsidP="00DC25B3">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72.60</w:t>
            </w:r>
          </w:p>
        </w:tc>
        <w:tc>
          <w:tcPr>
            <w:tcW w:w="2104" w:type="dxa"/>
            <w:gridSpan w:val="2"/>
            <w:vAlign w:val="center"/>
          </w:tcPr>
          <w:p w:rsidR="00DC25B3" w:rsidRPr="003B1FCE" w:rsidRDefault="00DC25B3" w:rsidP="00DC25B3">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83.21</w:t>
            </w:r>
          </w:p>
        </w:tc>
        <w:tc>
          <w:tcPr>
            <w:tcW w:w="908" w:type="dxa"/>
            <w:vAlign w:val="center"/>
          </w:tcPr>
          <w:p w:rsidR="00DC25B3" w:rsidRPr="003B1FCE" w:rsidRDefault="00DC25B3" w:rsidP="00DC25B3">
            <w:pPr>
              <w:jc w:val="center"/>
              <w:rPr>
                <w:rFonts w:ascii="Arial" w:hAnsi="Arial" w:cs="Arial"/>
                <w:color w:val="000000"/>
                <w:sz w:val="20"/>
                <w:szCs w:val="20"/>
              </w:rPr>
            </w:pPr>
            <w:r w:rsidRPr="003B1FCE">
              <w:rPr>
                <w:rFonts w:ascii="Arial" w:hAnsi="Arial" w:cs="Arial"/>
                <w:color w:val="000000"/>
                <w:sz w:val="20"/>
                <w:szCs w:val="20"/>
              </w:rPr>
              <w:t>10.61</w:t>
            </w:r>
          </w:p>
        </w:tc>
      </w:tr>
      <w:tr w:rsidR="00DC25B3" w:rsidRPr="003B1FCE" w:rsidTr="00D23BCA">
        <w:tc>
          <w:tcPr>
            <w:tcW w:w="3659" w:type="dxa"/>
          </w:tcPr>
          <w:p w:rsidR="00DC25B3" w:rsidRPr="003B1FCE" w:rsidRDefault="00DC25B3" w:rsidP="00DC25B3">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135 – Obligaciones Específicas de los Fideicomisos y Fondos Públicos</w:t>
            </w:r>
          </w:p>
        </w:tc>
        <w:tc>
          <w:tcPr>
            <w:tcW w:w="2148" w:type="dxa"/>
            <w:vAlign w:val="center"/>
          </w:tcPr>
          <w:p w:rsidR="00DC25B3" w:rsidRPr="003B1FCE" w:rsidRDefault="00DC25B3" w:rsidP="00DC25B3">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59.91</w:t>
            </w:r>
          </w:p>
        </w:tc>
        <w:tc>
          <w:tcPr>
            <w:tcW w:w="2104" w:type="dxa"/>
            <w:gridSpan w:val="2"/>
            <w:vAlign w:val="center"/>
          </w:tcPr>
          <w:p w:rsidR="00DC25B3" w:rsidRPr="003B1FCE" w:rsidRDefault="00DC25B3" w:rsidP="00DC25B3">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75.14</w:t>
            </w:r>
          </w:p>
        </w:tc>
        <w:tc>
          <w:tcPr>
            <w:tcW w:w="908" w:type="dxa"/>
            <w:vAlign w:val="center"/>
          </w:tcPr>
          <w:p w:rsidR="00DC25B3" w:rsidRPr="003B1FCE" w:rsidRDefault="00DC25B3" w:rsidP="00DC25B3">
            <w:pPr>
              <w:jc w:val="center"/>
              <w:rPr>
                <w:rFonts w:ascii="Arial" w:hAnsi="Arial" w:cs="Arial"/>
                <w:color w:val="000000"/>
                <w:sz w:val="20"/>
                <w:szCs w:val="20"/>
              </w:rPr>
            </w:pPr>
            <w:r w:rsidRPr="003B1FCE">
              <w:rPr>
                <w:rFonts w:ascii="Arial" w:hAnsi="Arial" w:cs="Arial"/>
                <w:color w:val="000000"/>
                <w:sz w:val="20"/>
                <w:szCs w:val="20"/>
              </w:rPr>
              <w:t>15.23</w:t>
            </w:r>
          </w:p>
        </w:tc>
      </w:tr>
      <w:tr w:rsidR="00DC25B3" w:rsidRPr="003B1FCE" w:rsidTr="00D23BCA">
        <w:tc>
          <w:tcPr>
            <w:tcW w:w="3659" w:type="dxa"/>
          </w:tcPr>
          <w:p w:rsidR="00DC25B3" w:rsidRPr="003B1FCE" w:rsidRDefault="00DC25B3" w:rsidP="00DC25B3">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136 – Obligaciones Específicas de los Fideicomisos y Fondos Públicos</w:t>
            </w:r>
          </w:p>
        </w:tc>
        <w:tc>
          <w:tcPr>
            <w:tcW w:w="2148" w:type="dxa"/>
            <w:vAlign w:val="center"/>
          </w:tcPr>
          <w:p w:rsidR="00DC25B3" w:rsidRPr="003B1FCE" w:rsidRDefault="00DC25B3" w:rsidP="00DC25B3">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64.21</w:t>
            </w:r>
          </w:p>
        </w:tc>
        <w:tc>
          <w:tcPr>
            <w:tcW w:w="2104" w:type="dxa"/>
            <w:gridSpan w:val="2"/>
            <w:vAlign w:val="center"/>
          </w:tcPr>
          <w:p w:rsidR="00DC25B3" w:rsidRPr="003B1FCE" w:rsidRDefault="00DC25B3" w:rsidP="00DC25B3">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78.36</w:t>
            </w:r>
          </w:p>
        </w:tc>
        <w:tc>
          <w:tcPr>
            <w:tcW w:w="908" w:type="dxa"/>
            <w:vAlign w:val="center"/>
          </w:tcPr>
          <w:p w:rsidR="00DC25B3" w:rsidRPr="003B1FCE" w:rsidRDefault="00DC25B3" w:rsidP="00DC25B3">
            <w:pPr>
              <w:jc w:val="center"/>
              <w:rPr>
                <w:rFonts w:ascii="Arial" w:hAnsi="Arial" w:cs="Arial"/>
                <w:color w:val="000000"/>
                <w:sz w:val="20"/>
                <w:szCs w:val="20"/>
              </w:rPr>
            </w:pPr>
            <w:r w:rsidRPr="003B1FCE">
              <w:rPr>
                <w:rFonts w:ascii="Arial" w:hAnsi="Arial" w:cs="Arial"/>
                <w:color w:val="000000"/>
                <w:sz w:val="20"/>
                <w:szCs w:val="20"/>
              </w:rPr>
              <w:t>14.15</w:t>
            </w:r>
          </w:p>
        </w:tc>
      </w:tr>
      <w:tr w:rsidR="00DC25B3" w:rsidRPr="003B1FCE" w:rsidTr="00D23BCA">
        <w:tc>
          <w:tcPr>
            <w:tcW w:w="3659" w:type="dxa"/>
          </w:tcPr>
          <w:p w:rsidR="00DC25B3" w:rsidRPr="003B1FCE" w:rsidRDefault="00DC25B3" w:rsidP="00DC25B3">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 xml:space="preserve">143 – Obra Pública </w:t>
            </w:r>
          </w:p>
        </w:tc>
        <w:tc>
          <w:tcPr>
            <w:tcW w:w="2148" w:type="dxa"/>
            <w:vAlign w:val="center"/>
          </w:tcPr>
          <w:p w:rsidR="00DC25B3" w:rsidRPr="003B1FCE" w:rsidRDefault="00DC25B3" w:rsidP="00DC25B3">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79.83</w:t>
            </w:r>
          </w:p>
        </w:tc>
        <w:tc>
          <w:tcPr>
            <w:tcW w:w="2104" w:type="dxa"/>
            <w:gridSpan w:val="2"/>
            <w:vAlign w:val="center"/>
          </w:tcPr>
          <w:p w:rsidR="00DC25B3" w:rsidRPr="003B1FCE" w:rsidRDefault="00DC25B3" w:rsidP="00DC25B3">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88.19</w:t>
            </w:r>
          </w:p>
        </w:tc>
        <w:tc>
          <w:tcPr>
            <w:tcW w:w="908" w:type="dxa"/>
            <w:vAlign w:val="center"/>
          </w:tcPr>
          <w:p w:rsidR="00DC25B3" w:rsidRPr="003B1FCE" w:rsidRDefault="00DC25B3" w:rsidP="00DC25B3">
            <w:pPr>
              <w:jc w:val="center"/>
              <w:rPr>
                <w:rFonts w:ascii="Arial" w:hAnsi="Arial" w:cs="Arial"/>
                <w:color w:val="000000"/>
                <w:sz w:val="20"/>
                <w:szCs w:val="20"/>
              </w:rPr>
            </w:pPr>
            <w:r w:rsidRPr="003B1FCE">
              <w:rPr>
                <w:rFonts w:ascii="Arial" w:hAnsi="Arial" w:cs="Arial"/>
                <w:color w:val="000000"/>
                <w:sz w:val="20"/>
                <w:szCs w:val="20"/>
              </w:rPr>
              <w:t>8.36</w:t>
            </w:r>
          </w:p>
        </w:tc>
      </w:tr>
      <w:tr w:rsidR="00DC25B3" w:rsidRPr="003B1FCE" w:rsidTr="00D23BCA">
        <w:tc>
          <w:tcPr>
            <w:tcW w:w="3659" w:type="dxa"/>
          </w:tcPr>
          <w:p w:rsidR="00DC25B3" w:rsidRPr="003B1FCE" w:rsidRDefault="00DC25B3" w:rsidP="00DC25B3">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145 – Portal de Transparencia</w:t>
            </w:r>
          </w:p>
        </w:tc>
        <w:tc>
          <w:tcPr>
            <w:tcW w:w="2148" w:type="dxa"/>
            <w:vAlign w:val="center"/>
          </w:tcPr>
          <w:p w:rsidR="00DC25B3" w:rsidRPr="003B1FCE" w:rsidRDefault="00DC25B3" w:rsidP="00DC25B3">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94.22</w:t>
            </w:r>
          </w:p>
        </w:tc>
        <w:tc>
          <w:tcPr>
            <w:tcW w:w="2104" w:type="dxa"/>
            <w:gridSpan w:val="2"/>
            <w:vAlign w:val="center"/>
          </w:tcPr>
          <w:p w:rsidR="00DC25B3" w:rsidRPr="003B1FCE" w:rsidRDefault="00DC25B3" w:rsidP="00DC25B3">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98.31</w:t>
            </w:r>
          </w:p>
        </w:tc>
        <w:tc>
          <w:tcPr>
            <w:tcW w:w="908" w:type="dxa"/>
            <w:vAlign w:val="center"/>
          </w:tcPr>
          <w:p w:rsidR="00DC25B3" w:rsidRPr="003B1FCE" w:rsidRDefault="00DC25B3" w:rsidP="00DC25B3">
            <w:pPr>
              <w:jc w:val="center"/>
              <w:rPr>
                <w:rFonts w:ascii="Arial" w:hAnsi="Arial" w:cs="Arial"/>
                <w:color w:val="000000"/>
                <w:sz w:val="20"/>
                <w:szCs w:val="20"/>
              </w:rPr>
            </w:pPr>
            <w:r w:rsidRPr="003B1FCE">
              <w:rPr>
                <w:rFonts w:ascii="Arial" w:hAnsi="Arial" w:cs="Arial"/>
                <w:color w:val="000000"/>
                <w:sz w:val="20"/>
                <w:szCs w:val="20"/>
              </w:rPr>
              <w:t>4.09</w:t>
            </w:r>
          </w:p>
        </w:tc>
      </w:tr>
      <w:tr w:rsidR="00DC25B3" w:rsidRPr="003B1FCE" w:rsidTr="00D23BCA">
        <w:tc>
          <w:tcPr>
            <w:tcW w:w="3659" w:type="dxa"/>
          </w:tcPr>
          <w:p w:rsidR="00DC25B3" w:rsidRPr="003B1FCE" w:rsidRDefault="00DC25B3" w:rsidP="00DC25B3">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146 – Calendario de actualización</w:t>
            </w:r>
          </w:p>
        </w:tc>
        <w:tc>
          <w:tcPr>
            <w:tcW w:w="2148" w:type="dxa"/>
            <w:vAlign w:val="center"/>
          </w:tcPr>
          <w:p w:rsidR="00DC25B3" w:rsidRPr="003B1FCE" w:rsidRDefault="00DC25B3" w:rsidP="00DC25B3">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54.26</w:t>
            </w:r>
          </w:p>
        </w:tc>
        <w:tc>
          <w:tcPr>
            <w:tcW w:w="2104" w:type="dxa"/>
            <w:gridSpan w:val="2"/>
            <w:vAlign w:val="center"/>
          </w:tcPr>
          <w:p w:rsidR="00DC25B3" w:rsidRPr="003B1FCE" w:rsidRDefault="00DC25B3" w:rsidP="00DC25B3">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88.70</w:t>
            </w:r>
          </w:p>
        </w:tc>
        <w:tc>
          <w:tcPr>
            <w:tcW w:w="908" w:type="dxa"/>
            <w:vAlign w:val="center"/>
          </w:tcPr>
          <w:p w:rsidR="00DC25B3" w:rsidRPr="003B1FCE" w:rsidRDefault="00DC25B3" w:rsidP="00DC25B3">
            <w:pPr>
              <w:jc w:val="center"/>
              <w:rPr>
                <w:rFonts w:ascii="Arial" w:hAnsi="Arial" w:cs="Arial"/>
                <w:color w:val="000000"/>
                <w:sz w:val="20"/>
                <w:szCs w:val="20"/>
              </w:rPr>
            </w:pPr>
            <w:r w:rsidRPr="003B1FCE">
              <w:rPr>
                <w:rFonts w:ascii="Arial" w:hAnsi="Arial" w:cs="Arial"/>
                <w:color w:val="000000"/>
                <w:sz w:val="20"/>
                <w:szCs w:val="20"/>
              </w:rPr>
              <w:t>34.44</w:t>
            </w:r>
          </w:p>
        </w:tc>
      </w:tr>
      <w:tr w:rsidR="00DC25B3" w:rsidRPr="003B1FCE" w:rsidTr="00D23BCA">
        <w:tc>
          <w:tcPr>
            <w:tcW w:w="3659" w:type="dxa"/>
          </w:tcPr>
          <w:p w:rsidR="00DC25B3" w:rsidRPr="003B1FCE" w:rsidRDefault="00DC25B3" w:rsidP="00DC25B3">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 xml:space="preserve">147 – Informes respecto de recursos otorgados por el sujeto obligado a terceros </w:t>
            </w:r>
          </w:p>
        </w:tc>
        <w:tc>
          <w:tcPr>
            <w:tcW w:w="2148" w:type="dxa"/>
            <w:vAlign w:val="center"/>
          </w:tcPr>
          <w:p w:rsidR="00DC25B3" w:rsidRPr="003B1FCE" w:rsidRDefault="00DC25B3" w:rsidP="00DC25B3">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77.95</w:t>
            </w:r>
          </w:p>
        </w:tc>
        <w:tc>
          <w:tcPr>
            <w:tcW w:w="2104" w:type="dxa"/>
            <w:gridSpan w:val="2"/>
            <w:vAlign w:val="center"/>
          </w:tcPr>
          <w:p w:rsidR="00DC25B3" w:rsidRPr="003B1FCE" w:rsidRDefault="00DC25B3" w:rsidP="00DC25B3">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87.80</w:t>
            </w:r>
          </w:p>
        </w:tc>
        <w:tc>
          <w:tcPr>
            <w:tcW w:w="908" w:type="dxa"/>
            <w:vAlign w:val="center"/>
          </w:tcPr>
          <w:p w:rsidR="00DC25B3" w:rsidRPr="003B1FCE" w:rsidRDefault="00DC25B3" w:rsidP="00DC25B3">
            <w:pPr>
              <w:jc w:val="center"/>
              <w:rPr>
                <w:rFonts w:ascii="Arial" w:hAnsi="Arial" w:cs="Arial"/>
                <w:color w:val="000000"/>
                <w:sz w:val="20"/>
                <w:szCs w:val="20"/>
              </w:rPr>
            </w:pPr>
            <w:r w:rsidRPr="003B1FCE">
              <w:rPr>
                <w:rFonts w:ascii="Arial" w:hAnsi="Arial" w:cs="Arial"/>
                <w:color w:val="000000"/>
                <w:sz w:val="20"/>
                <w:szCs w:val="20"/>
              </w:rPr>
              <w:t>9.85</w:t>
            </w:r>
          </w:p>
        </w:tc>
      </w:tr>
    </w:tbl>
    <w:p w:rsidR="00D23BCA" w:rsidRPr="003B1FCE" w:rsidRDefault="00D23BCA" w:rsidP="00D23BCA">
      <w:pPr>
        <w:spacing w:before="100" w:beforeAutospacing="1" w:after="100" w:afterAutospacing="1" w:line="360" w:lineRule="auto"/>
        <w:contextualSpacing/>
        <w:jc w:val="both"/>
        <w:rPr>
          <w:rFonts w:ascii="Arial" w:hAnsi="Arial" w:cs="Arial"/>
        </w:rPr>
      </w:pPr>
    </w:p>
    <w:p w:rsidR="00D23BCA" w:rsidRPr="003B1FCE" w:rsidRDefault="00D23BCA" w:rsidP="00D23BCA">
      <w:pPr>
        <w:spacing w:before="100" w:beforeAutospacing="1" w:after="100" w:afterAutospacing="1" w:line="360" w:lineRule="auto"/>
        <w:contextualSpacing/>
        <w:jc w:val="both"/>
        <w:rPr>
          <w:rFonts w:ascii="Arial" w:hAnsi="Arial" w:cs="Arial"/>
        </w:rPr>
      </w:pPr>
      <w:r w:rsidRPr="003B1FCE">
        <w:rPr>
          <w:rFonts w:ascii="Arial" w:hAnsi="Arial" w:cs="Arial"/>
        </w:rPr>
        <w:t xml:space="preserve">Del comparativo anteriormente plasmado, se puede apreciar que este ámbito tuvo un incremento en todos sus índices por artículo; de igual forma, el ICP de todos los artículos tuvo un cumplimiento parcial. </w:t>
      </w:r>
    </w:p>
    <w:p w:rsidR="00D23BCA" w:rsidRPr="003B1FCE" w:rsidRDefault="00D23BCA" w:rsidP="00D23BCA">
      <w:pPr>
        <w:spacing w:before="100" w:beforeAutospacing="1" w:after="100" w:afterAutospacing="1" w:line="360" w:lineRule="auto"/>
        <w:contextualSpacing/>
        <w:jc w:val="both"/>
        <w:rPr>
          <w:rFonts w:ascii="Arial" w:hAnsi="Arial" w:cs="Arial"/>
        </w:rPr>
      </w:pPr>
    </w:p>
    <w:p w:rsidR="00D23BCA" w:rsidRPr="003B1FCE" w:rsidRDefault="00D23BCA" w:rsidP="00D23BCA">
      <w:pPr>
        <w:spacing w:before="100" w:beforeAutospacing="1" w:after="100" w:afterAutospacing="1" w:line="360" w:lineRule="auto"/>
        <w:contextualSpacing/>
        <w:jc w:val="both"/>
        <w:rPr>
          <w:rFonts w:ascii="Arial" w:hAnsi="Arial" w:cs="Arial"/>
        </w:rPr>
      </w:pPr>
      <w:r w:rsidRPr="003B1FCE">
        <w:rPr>
          <w:rFonts w:ascii="Arial" w:hAnsi="Arial" w:cs="Arial"/>
        </w:rPr>
        <w:t xml:space="preserve">En lo que respecta a las obligaciones comunes, pasó de tener un ICP entre 60% y </w:t>
      </w:r>
      <w:r w:rsidR="00DC25B3" w:rsidRPr="003B1FCE">
        <w:rPr>
          <w:rFonts w:ascii="Arial" w:hAnsi="Arial" w:cs="Arial"/>
        </w:rPr>
        <w:t>70</w:t>
      </w:r>
      <w:r w:rsidRPr="003B1FCE">
        <w:rPr>
          <w:rFonts w:ascii="Arial" w:hAnsi="Arial" w:cs="Arial"/>
        </w:rPr>
        <w:t xml:space="preserve">% a un IGOT </w:t>
      </w:r>
      <w:r w:rsidR="00DC25B3" w:rsidRPr="003B1FCE">
        <w:rPr>
          <w:rFonts w:ascii="Arial" w:hAnsi="Arial" w:cs="Arial"/>
        </w:rPr>
        <w:t>superior a 85</w:t>
      </w:r>
      <w:r w:rsidRPr="003B1FCE">
        <w:rPr>
          <w:rFonts w:ascii="Arial" w:hAnsi="Arial" w:cs="Arial"/>
        </w:rPr>
        <w:t xml:space="preserve">%; por lo que tuvo un incremento de </w:t>
      </w:r>
      <w:r w:rsidR="00DC25B3" w:rsidRPr="003B1FCE">
        <w:rPr>
          <w:rFonts w:ascii="Arial" w:hAnsi="Arial" w:cs="Arial"/>
        </w:rPr>
        <w:t>16.75</w:t>
      </w:r>
      <w:r w:rsidRPr="003B1FCE">
        <w:rPr>
          <w:rFonts w:ascii="Arial" w:hAnsi="Arial" w:cs="Arial"/>
        </w:rPr>
        <w:t xml:space="preserve"> puntos. Sobre las obligaciones específicas, l</w:t>
      </w:r>
      <w:r w:rsidR="00DC25B3" w:rsidRPr="003B1FCE">
        <w:rPr>
          <w:rFonts w:ascii="Arial" w:hAnsi="Arial" w:cs="Arial"/>
        </w:rPr>
        <w:t xml:space="preserve">os Órganos Desconcentrados </w:t>
      </w:r>
      <w:r w:rsidRPr="003B1FCE">
        <w:rPr>
          <w:rFonts w:ascii="Arial" w:hAnsi="Arial" w:cs="Arial"/>
        </w:rPr>
        <w:t>tuvieron un incremento</w:t>
      </w:r>
      <w:r w:rsidR="00DC25B3" w:rsidRPr="003B1FCE">
        <w:rPr>
          <w:rFonts w:ascii="Arial" w:hAnsi="Arial" w:cs="Arial"/>
        </w:rPr>
        <w:t xml:space="preserve"> promedio</w:t>
      </w:r>
      <w:r w:rsidRPr="003B1FCE">
        <w:rPr>
          <w:rFonts w:ascii="Arial" w:hAnsi="Arial" w:cs="Arial"/>
        </w:rPr>
        <w:t xml:space="preserve"> de </w:t>
      </w:r>
      <w:r w:rsidR="00DC25B3" w:rsidRPr="003B1FCE">
        <w:rPr>
          <w:rFonts w:ascii="Arial" w:hAnsi="Arial" w:cs="Arial"/>
        </w:rPr>
        <w:t>13.33</w:t>
      </w:r>
      <w:r w:rsidRPr="003B1FCE">
        <w:rPr>
          <w:rFonts w:ascii="Arial" w:hAnsi="Arial" w:cs="Arial"/>
        </w:rPr>
        <w:t xml:space="preserve"> puntos;</w:t>
      </w:r>
      <w:r w:rsidR="00DC25B3" w:rsidRPr="003B1FCE">
        <w:rPr>
          <w:rFonts w:ascii="Arial" w:hAnsi="Arial" w:cs="Arial"/>
        </w:rPr>
        <w:t xml:space="preserve"> en especifico, pasando el artículo 135 de estar situado en un incumplimiento parcial a un cumplimento parcial. </w:t>
      </w:r>
      <w:r w:rsidRPr="003B1FCE">
        <w:rPr>
          <w:rFonts w:ascii="Arial" w:hAnsi="Arial" w:cs="Arial"/>
        </w:rPr>
        <w:t xml:space="preserve">Por último, las </w:t>
      </w:r>
      <w:r w:rsidRPr="003B1FCE">
        <w:rPr>
          <w:rFonts w:ascii="Arial" w:hAnsi="Arial" w:cs="Arial"/>
        </w:rPr>
        <w:lastRenderedPageBreak/>
        <w:t xml:space="preserve">disposiciones particulares tuvieron un incremento promedio de </w:t>
      </w:r>
      <w:r w:rsidR="00DC25B3" w:rsidRPr="003B1FCE">
        <w:rPr>
          <w:rFonts w:ascii="Arial" w:hAnsi="Arial" w:cs="Arial"/>
        </w:rPr>
        <w:t>14.18 puntos</w:t>
      </w:r>
      <w:r w:rsidRPr="003B1FCE">
        <w:rPr>
          <w:rFonts w:ascii="Arial" w:hAnsi="Arial" w:cs="Arial"/>
        </w:rPr>
        <w:t>, encontrándose su ICP entre 8</w:t>
      </w:r>
      <w:r w:rsidR="00DC25B3" w:rsidRPr="003B1FCE">
        <w:rPr>
          <w:rFonts w:ascii="Arial" w:hAnsi="Arial" w:cs="Arial"/>
        </w:rPr>
        <w:t>7</w:t>
      </w:r>
      <w:r w:rsidRPr="003B1FCE">
        <w:rPr>
          <w:rFonts w:ascii="Arial" w:hAnsi="Arial" w:cs="Arial"/>
        </w:rPr>
        <w:t xml:space="preserve">% y 99%. Es pertinente resaltar que la disposición particular consistente en publicar el calendario de actualización de las obligaciones de transparencia pasó de tener un incumplimiento parcial de </w:t>
      </w:r>
      <w:r w:rsidR="00DC25B3" w:rsidRPr="003B1FCE">
        <w:rPr>
          <w:rFonts w:ascii="Arial" w:hAnsi="Arial" w:cs="Arial"/>
        </w:rPr>
        <w:t>54.26</w:t>
      </w:r>
      <w:r w:rsidRPr="003B1FCE">
        <w:rPr>
          <w:rFonts w:ascii="Arial" w:hAnsi="Arial" w:cs="Arial"/>
        </w:rPr>
        <w:t xml:space="preserve">% a un cumplimiento de </w:t>
      </w:r>
      <w:r w:rsidR="00DC25B3" w:rsidRPr="003B1FCE">
        <w:rPr>
          <w:rFonts w:ascii="Arial" w:hAnsi="Arial" w:cs="Arial"/>
        </w:rPr>
        <w:t>88.70</w:t>
      </w:r>
      <w:r w:rsidRPr="003B1FCE">
        <w:rPr>
          <w:rFonts w:ascii="Arial" w:hAnsi="Arial" w:cs="Arial"/>
        </w:rPr>
        <w:t xml:space="preserve">%. </w:t>
      </w:r>
    </w:p>
    <w:p w:rsidR="00D23BCA" w:rsidRPr="003B1FCE" w:rsidRDefault="00D23BCA" w:rsidP="00D23BCA">
      <w:pPr>
        <w:spacing w:before="100" w:beforeAutospacing="1" w:after="100" w:afterAutospacing="1" w:line="360" w:lineRule="auto"/>
        <w:contextualSpacing/>
        <w:jc w:val="both"/>
        <w:rPr>
          <w:rFonts w:ascii="Arial" w:hAnsi="Arial" w:cs="Arial"/>
        </w:rPr>
      </w:pPr>
    </w:p>
    <w:p w:rsidR="00D23BCA" w:rsidRPr="003B1FCE" w:rsidRDefault="00D23BCA" w:rsidP="00D23BCA">
      <w:pPr>
        <w:spacing w:before="100" w:beforeAutospacing="1" w:after="100" w:afterAutospacing="1" w:line="360" w:lineRule="auto"/>
        <w:contextualSpacing/>
        <w:jc w:val="both"/>
        <w:rPr>
          <w:rFonts w:ascii="Arial" w:hAnsi="Arial" w:cs="Arial"/>
        </w:rPr>
      </w:pPr>
      <w:r w:rsidRPr="003B1FCE">
        <w:rPr>
          <w:rFonts w:ascii="Arial" w:hAnsi="Arial" w:cs="Arial"/>
        </w:rPr>
        <w:t xml:space="preserve">El Poder Ejecutivo – </w:t>
      </w:r>
      <w:r w:rsidR="00DC25B3" w:rsidRPr="003B1FCE">
        <w:rPr>
          <w:rFonts w:ascii="Arial" w:hAnsi="Arial" w:cs="Arial"/>
        </w:rPr>
        <w:t xml:space="preserve">Órganos Desconcentrados, Fondos y Fideicomisos </w:t>
      </w:r>
      <w:r w:rsidRPr="003B1FCE">
        <w:rPr>
          <w:rFonts w:ascii="Arial" w:hAnsi="Arial" w:cs="Arial"/>
        </w:rPr>
        <w:t xml:space="preserve">obtuvo un incremento promedio en su índice por artículo de </w:t>
      </w:r>
      <w:r w:rsidR="00DC25B3" w:rsidRPr="003B1FCE">
        <w:rPr>
          <w:rFonts w:ascii="Arial" w:hAnsi="Arial" w:cs="Arial"/>
        </w:rPr>
        <w:t>14.18</w:t>
      </w:r>
      <w:r w:rsidRPr="003B1FCE">
        <w:rPr>
          <w:rFonts w:ascii="Arial" w:hAnsi="Arial" w:cs="Arial"/>
        </w:rPr>
        <w:t>%.</w:t>
      </w:r>
    </w:p>
    <w:p w:rsidR="00D23BCA" w:rsidRPr="003B1FCE" w:rsidRDefault="00D23BCA" w:rsidP="00D23BCA">
      <w:pPr>
        <w:spacing w:before="100" w:beforeAutospacing="1" w:after="100" w:afterAutospacing="1" w:line="360" w:lineRule="auto"/>
        <w:contextualSpacing/>
        <w:jc w:val="both"/>
        <w:rPr>
          <w:rFonts w:ascii="Arial" w:hAnsi="Arial" w:cs="Arial"/>
        </w:rPr>
      </w:pPr>
    </w:p>
    <w:p w:rsidR="00D23BCA" w:rsidRPr="003B1FCE" w:rsidRDefault="00D23BCA" w:rsidP="00D23BCA">
      <w:pPr>
        <w:spacing w:before="100" w:beforeAutospacing="1" w:after="100" w:afterAutospacing="1" w:line="360" w:lineRule="auto"/>
        <w:contextualSpacing/>
        <w:jc w:val="both"/>
        <w:rPr>
          <w:rFonts w:ascii="Arial" w:hAnsi="Arial" w:cs="Arial"/>
          <w:b/>
          <w:bCs/>
        </w:rPr>
      </w:pPr>
      <w:r w:rsidRPr="003B1FCE">
        <w:rPr>
          <w:rFonts w:ascii="Arial" w:hAnsi="Arial" w:cs="Arial"/>
          <w:b/>
          <w:bCs/>
        </w:rPr>
        <w:t>Comparativo de índices entre la Primera Evaluación Vinculante 2019 y la Tercera Evaluación Vinculante 2019</w:t>
      </w:r>
    </w:p>
    <w:tbl>
      <w:tblPr>
        <w:tblW w:w="9067" w:type="dxa"/>
        <w:tblLayout w:type="fixed"/>
        <w:tblCellMar>
          <w:left w:w="70" w:type="dxa"/>
          <w:right w:w="70" w:type="dxa"/>
        </w:tblCellMar>
        <w:tblLook w:val="04A0" w:firstRow="1" w:lastRow="0" w:firstColumn="1" w:lastColumn="0" w:noHBand="0" w:noVBand="1"/>
      </w:tblPr>
      <w:tblGrid>
        <w:gridCol w:w="463"/>
        <w:gridCol w:w="4352"/>
        <w:gridCol w:w="1559"/>
        <w:gridCol w:w="1703"/>
        <w:gridCol w:w="990"/>
      </w:tblGrid>
      <w:tr w:rsidR="00D23BCA" w:rsidRPr="003B1FCE" w:rsidTr="00B018FB">
        <w:trPr>
          <w:trHeight w:val="860"/>
          <w:tblHeader/>
        </w:trPr>
        <w:tc>
          <w:tcPr>
            <w:tcW w:w="9067" w:type="dxa"/>
            <w:gridSpan w:val="5"/>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D23BCA" w:rsidRPr="003B1FCE" w:rsidRDefault="00D23BCA" w:rsidP="00D23BCA">
            <w:pPr>
              <w:jc w:val="center"/>
              <w:rPr>
                <w:rFonts w:ascii="Arial" w:hAnsi="Arial" w:cs="Arial"/>
                <w:b/>
                <w:bCs/>
                <w:color w:val="000000"/>
                <w:sz w:val="20"/>
                <w:szCs w:val="20"/>
              </w:rPr>
            </w:pPr>
            <w:r w:rsidRPr="003B1FCE">
              <w:rPr>
                <w:rFonts w:ascii="Arial" w:hAnsi="Arial" w:cs="Arial"/>
                <w:b/>
                <w:bCs/>
                <w:color w:val="000000"/>
                <w:sz w:val="20"/>
                <w:szCs w:val="20"/>
              </w:rPr>
              <w:t>Resultados de la Tercera Evaluación Vinculante 2019, respecto de las recomendaciones y observaciones de la Primera Evaluación Vinculante 2019</w:t>
            </w:r>
          </w:p>
        </w:tc>
      </w:tr>
      <w:tr w:rsidR="00D23BCA" w:rsidRPr="003B1FCE" w:rsidTr="00B018FB">
        <w:trPr>
          <w:trHeight w:val="340"/>
          <w:tblHeader/>
        </w:trPr>
        <w:tc>
          <w:tcPr>
            <w:tcW w:w="463" w:type="dxa"/>
            <w:tcBorders>
              <w:top w:val="nil"/>
              <w:left w:val="single" w:sz="4" w:space="0" w:color="auto"/>
              <w:bottom w:val="single" w:sz="4" w:space="0" w:color="auto"/>
              <w:right w:val="single" w:sz="4" w:space="0" w:color="auto"/>
            </w:tcBorders>
            <w:shd w:val="clear" w:color="auto" w:fill="ED7D31" w:themeFill="accent2"/>
            <w:vAlign w:val="center"/>
            <w:hideMark/>
          </w:tcPr>
          <w:p w:rsidR="00D23BCA" w:rsidRPr="003B1FCE" w:rsidRDefault="00D23BCA" w:rsidP="00D23BCA">
            <w:pPr>
              <w:jc w:val="center"/>
              <w:rPr>
                <w:rFonts w:ascii="Arial" w:hAnsi="Arial" w:cs="Arial"/>
                <w:b/>
                <w:bCs/>
                <w:color w:val="000000"/>
                <w:sz w:val="20"/>
                <w:szCs w:val="20"/>
              </w:rPr>
            </w:pPr>
            <w:r w:rsidRPr="003B1FCE">
              <w:rPr>
                <w:rFonts w:ascii="Arial" w:hAnsi="Arial" w:cs="Arial"/>
                <w:b/>
                <w:bCs/>
                <w:color w:val="000000"/>
                <w:sz w:val="20"/>
                <w:szCs w:val="20"/>
              </w:rPr>
              <w:t>No.</w:t>
            </w:r>
          </w:p>
        </w:tc>
        <w:tc>
          <w:tcPr>
            <w:tcW w:w="4352" w:type="dxa"/>
            <w:tcBorders>
              <w:top w:val="nil"/>
              <w:left w:val="nil"/>
              <w:bottom w:val="single" w:sz="4" w:space="0" w:color="auto"/>
              <w:right w:val="single" w:sz="4" w:space="0" w:color="auto"/>
            </w:tcBorders>
            <w:shd w:val="clear" w:color="auto" w:fill="ED7D31" w:themeFill="accent2"/>
            <w:vAlign w:val="center"/>
            <w:hideMark/>
          </w:tcPr>
          <w:p w:rsidR="00D23BCA" w:rsidRPr="003B1FCE" w:rsidRDefault="00D23BCA" w:rsidP="00D23BCA">
            <w:pPr>
              <w:jc w:val="center"/>
              <w:rPr>
                <w:rFonts w:ascii="Arial" w:hAnsi="Arial" w:cs="Arial"/>
                <w:b/>
                <w:bCs/>
                <w:color w:val="000000"/>
                <w:sz w:val="20"/>
                <w:szCs w:val="20"/>
              </w:rPr>
            </w:pPr>
            <w:r w:rsidRPr="003B1FCE">
              <w:rPr>
                <w:rFonts w:ascii="Arial" w:hAnsi="Arial" w:cs="Arial"/>
                <w:b/>
                <w:bCs/>
                <w:color w:val="000000"/>
                <w:sz w:val="20"/>
                <w:szCs w:val="20"/>
              </w:rPr>
              <w:t>Sujeto obligado</w:t>
            </w:r>
          </w:p>
        </w:tc>
        <w:tc>
          <w:tcPr>
            <w:tcW w:w="1559" w:type="dxa"/>
            <w:tcBorders>
              <w:top w:val="nil"/>
              <w:left w:val="nil"/>
              <w:bottom w:val="single" w:sz="4" w:space="0" w:color="auto"/>
              <w:right w:val="single" w:sz="4" w:space="0" w:color="auto"/>
            </w:tcBorders>
            <w:shd w:val="clear" w:color="auto" w:fill="ED7D31" w:themeFill="accent2"/>
            <w:vAlign w:val="center"/>
            <w:hideMark/>
          </w:tcPr>
          <w:p w:rsidR="00D23BCA" w:rsidRPr="003B1FCE" w:rsidRDefault="00D23BCA" w:rsidP="00D23BCA">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1a Evaluación Vinculante 2019, respecto del ejercicio 2018</w:t>
            </w:r>
          </w:p>
        </w:tc>
        <w:tc>
          <w:tcPr>
            <w:tcW w:w="1703" w:type="dxa"/>
            <w:tcBorders>
              <w:top w:val="nil"/>
              <w:left w:val="nil"/>
              <w:bottom w:val="single" w:sz="4" w:space="0" w:color="auto"/>
              <w:right w:val="single" w:sz="4" w:space="0" w:color="auto"/>
            </w:tcBorders>
            <w:shd w:val="clear" w:color="auto" w:fill="ED7D31" w:themeFill="accent2"/>
            <w:vAlign w:val="center"/>
            <w:hideMark/>
          </w:tcPr>
          <w:p w:rsidR="00D23BCA" w:rsidRPr="003B1FCE" w:rsidRDefault="00D23BCA" w:rsidP="00D23BCA">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3a Evaluación Vinculante, respecto de la 1a Evaluación Vinculante</w:t>
            </w:r>
          </w:p>
        </w:tc>
        <w:tc>
          <w:tcPr>
            <w:tcW w:w="990" w:type="dxa"/>
            <w:tcBorders>
              <w:top w:val="nil"/>
              <w:left w:val="nil"/>
              <w:bottom w:val="single" w:sz="4" w:space="0" w:color="auto"/>
              <w:right w:val="single" w:sz="4" w:space="0" w:color="auto"/>
            </w:tcBorders>
            <w:shd w:val="clear" w:color="auto" w:fill="ED7D31" w:themeFill="accent2"/>
            <w:vAlign w:val="center"/>
            <w:hideMark/>
          </w:tcPr>
          <w:p w:rsidR="00D23BCA" w:rsidRPr="003B1FCE" w:rsidRDefault="00D23BCA" w:rsidP="00D23BCA">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Mejoría</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1</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Fondo Mixto de Promoción Turística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99.95</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0.05</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2</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Instituto de las Mujeres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88.74</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11.26</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3</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Corporación Mexicana de Impresión, S.A. de C.V.</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98.60</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1.40</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4</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Sistema para el Desarrollo Integral de la Familia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92.86</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7.14</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5</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Sistema de Aguas de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99.96</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0.04</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6</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Caja de Previsión de la Policía Preventiva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88.16</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11.84</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7</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Policía Bancaria e Industrial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94.38</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5.62</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8</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Caja de Previsión de la Policía Auxiliar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82.07</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17.93</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lastRenderedPageBreak/>
              <w:t>9</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Secretaría Ejecutiva del Mecanismo de Seguimiento y Evaluación del Programa de Derechos Humanos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80.53</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99.97</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19.44</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10</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Policía Auxiliar</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88.57</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99.87</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11.30</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11</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Instituto de Formación Profesional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84.14</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99.86</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15.72</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12</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Junta de Asistencia Privada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93.13</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99.79</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6.66</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13</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Procuraduría Ambiental y del Ordenamiento Territorial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95.95</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99.53</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3.58</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14</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Fideicomiso de Recuperación Crediticia de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93.26</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99.47</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6.21</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15</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Fondo Ambiental Público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75.85</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99.45</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23.60</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16</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Servicios de Salud Pública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97.52</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99.28</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1.76</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17</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Sistema de Movilidad 1</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92.77</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99.23</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6.46</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18</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Caja de Previsión para Trabajadores a Lista de Raya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85.49</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99.10</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13.61</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19</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Instituto de Vivienda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91.78</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99.02</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7.24</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20</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Servicio de Transportes Eléctricos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77.88</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98.86</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20.98</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21</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Instituto de Verificación Administrativa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96.25</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98.59</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2.35</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22</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Autoridad del Centro Histórico</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90.24</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98.25</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8.01</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lastRenderedPageBreak/>
              <w:t>23</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Fondo de Desarrollo Económico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83.39</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98.07</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14.68</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24</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Consejo para Prevenir y Eliminar la Discriminación de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94.55</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97.39</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2.84</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25</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Escuela de Administración Pública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95.94</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97.03</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1.09</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26</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Fondo para el Desarrollo Social de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81.81</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96.71</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14.90</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27</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Fideicomiso Público del Fondo de Apoyo a la Procuración de Justicia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46.77</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96.34</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49.57</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28</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Universidad de la Policía de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82.39</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95.72</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13.32</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29</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Instituto Local de la Infraestructura Física Educativa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74.37</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95.44</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21.07</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30</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Fideicomiso Museo de Arte Popular Mexicano</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76.28</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95.28</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19.00</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31</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Comisión de Filmaciones de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49.23</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94.95</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45.72</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32</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Instituto para la Atención y Prevención de las Adicciones en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82.15</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94.47</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12.32</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33</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Instituto del Deporte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82.48</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94.15</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11.67</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34</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Instituto de las Personas con Discapacidad de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73.12</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94.06</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20.95</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35</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Instituto de Educación Media Superior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50.45</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93.97</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43.52</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36</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Fondo para la Atención y Apoyo a las Víctimas del Delito</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54.05</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92.72</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38.68</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lastRenderedPageBreak/>
              <w:t>37</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Instituto de Capacitación para el Trabajo de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77.05</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92.69</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15.63</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38</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Coordinación de los Centros de Transferencia Modal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84.09</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91.25</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7.17</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39</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Fideicomiso Centro Histórico de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84.45</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90.84</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6.39</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40</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Procuraduría Social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79.74</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89.70</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9.95</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41</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Fideicomiso Museo del Estanquillo</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78.19</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89.18</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10.99</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42</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Fideicomiso Educación Garantizada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79.44</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88.82</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9.39</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43</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Sistema de Transporte Colectivo</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71.63</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87.92</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16.28</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44</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Agencia de Protección Sanitaria del Gobierno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74.73</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86.46</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11.73</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45</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Sistema de Radio y Televisión Digital del Gobierno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27.97</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86.16</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58.19</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46</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Consejo de Evaluación del Desarrollo Social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81.06</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81.24</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0.18</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47</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Autoridad de la Zona Patrimonio Mundial Natural y Cultural de la Humanidad en Xochimilco, Tláhuac y Milpa Alta</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60.71</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80.88</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20.17</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48</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Instituto para la Seguridad de las Construcciones en 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45.95</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80.26</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34.31</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49</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Agencia de Gestión Urbana de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77.60</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77.60</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50</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Consejo Económico y Social de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67.31</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75.91</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8.61</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lastRenderedPageBreak/>
              <w:t>51</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Instituto de la Juventud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67.74</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74.34</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6.60</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52</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Fideicomiso Fondo para el Desarrollo Económico y Social de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55.18</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72.04</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16.86</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53</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Servicios Metropolitanos, S.A. de C.V.</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73.25</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71.89</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-1.36</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54</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Autoridad del Espacio Público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70.41</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70.35</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-0.06</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55</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Fideicomiso Público de la Zona de Santa Fe</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64.48</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64.48</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56</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Mecanismo de Protección Integral de Personas Defensoras de Derechos Humanos y Periodistas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62.22</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64.09</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1.87</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57</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PROCDMX, S.A. de C.V.</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13.46</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61.99</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48.53</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58</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Heroico Cuerpo de Bomberos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47.93</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56.12</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8.18</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59</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Proyecto Metro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38.67</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38.67</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60</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Planta de Asfalto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36.47</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37.38</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0.91</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61</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Fideicomiso para la Promoción y Desarrollo del Cine Mexicano en 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3.07</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24.36</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21.30</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62</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Fideicomiso para el Fondo de Promoción para el Financiamiento del Transporte Público</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16.44</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16.44</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w:t>
            </w:r>
          </w:p>
        </w:tc>
      </w:tr>
      <w:tr w:rsidR="009217D9" w:rsidRPr="003B1FCE" w:rsidTr="009217D9">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17D9" w:rsidRPr="003B1FCE" w:rsidRDefault="009217D9">
            <w:pPr>
              <w:jc w:val="center"/>
              <w:rPr>
                <w:rFonts w:ascii="Arial" w:hAnsi="Arial" w:cs="Arial"/>
                <w:color w:val="000000"/>
                <w:sz w:val="20"/>
                <w:szCs w:val="20"/>
              </w:rPr>
            </w:pPr>
            <w:r w:rsidRPr="003B1FCE">
              <w:rPr>
                <w:rFonts w:ascii="Arial" w:hAnsi="Arial" w:cs="Arial"/>
                <w:color w:val="000000"/>
                <w:sz w:val="20"/>
                <w:szCs w:val="20"/>
              </w:rPr>
              <w:t>63</w:t>
            </w:r>
          </w:p>
        </w:tc>
        <w:tc>
          <w:tcPr>
            <w:tcW w:w="4352" w:type="dxa"/>
            <w:tcBorders>
              <w:top w:val="nil"/>
              <w:left w:val="nil"/>
              <w:bottom w:val="single" w:sz="4" w:space="0" w:color="auto"/>
              <w:right w:val="single" w:sz="4" w:space="0" w:color="auto"/>
            </w:tcBorders>
            <w:shd w:val="clear" w:color="auto" w:fill="auto"/>
            <w:vAlign w:val="center"/>
            <w:hideMark/>
          </w:tcPr>
          <w:p w:rsidR="009217D9" w:rsidRPr="003B1FCE" w:rsidRDefault="009217D9">
            <w:pPr>
              <w:rPr>
                <w:rFonts w:ascii="Arial" w:hAnsi="Arial" w:cs="Arial"/>
                <w:color w:val="000000"/>
                <w:sz w:val="20"/>
                <w:szCs w:val="20"/>
              </w:rPr>
            </w:pPr>
            <w:r w:rsidRPr="003B1FCE">
              <w:rPr>
                <w:rFonts w:ascii="Arial" w:hAnsi="Arial" w:cs="Arial"/>
                <w:color w:val="000000"/>
                <w:sz w:val="20"/>
                <w:szCs w:val="20"/>
              </w:rPr>
              <w:t>Fideicomiso Público Complejo Ambiental Xochimilco</w:t>
            </w:r>
          </w:p>
        </w:tc>
        <w:tc>
          <w:tcPr>
            <w:tcW w:w="1559"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7.50</w:t>
            </w:r>
          </w:p>
        </w:tc>
        <w:tc>
          <w:tcPr>
            <w:tcW w:w="1703"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7.50</w:t>
            </w:r>
          </w:p>
        </w:tc>
        <w:tc>
          <w:tcPr>
            <w:tcW w:w="990" w:type="dxa"/>
            <w:tcBorders>
              <w:top w:val="nil"/>
              <w:left w:val="nil"/>
              <w:bottom w:val="single" w:sz="4" w:space="0" w:color="auto"/>
              <w:right w:val="single" w:sz="4" w:space="0" w:color="auto"/>
            </w:tcBorders>
            <w:shd w:val="clear" w:color="auto" w:fill="auto"/>
            <w:vAlign w:val="center"/>
            <w:hideMark/>
          </w:tcPr>
          <w:p w:rsidR="009217D9" w:rsidRPr="003B1FCE" w:rsidRDefault="009217D9" w:rsidP="009217D9">
            <w:pPr>
              <w:jc w:val="center"/>
              <w:rPr>
                <w:rFonts w:ascii="Arial" w:hAnsi="Arial" w:cs="Arial"/>
                <w:color w:val="000000"/>
                <w:sz w:val="20"/>
                <w:szCs w:val="20"/>
              </w:rPr>
            </w:pPr>
            <w:r w:rsidRPr="003B1FCE">
              <w:rPr>
                <w:rFonts w:ascii="Arial" w:hAnsi="Arial" w:cs="Arial"/>
                <w:color w:val="000000"/>
                <w:sz w:val="20"/>
                <w:szCs w:val="20"/>
              </w:rPr>
              <w:t>-</w:t>
            </w:r>
          </w:p>
        </w:tc>
      </w:tr>
    </w:tbl>
    <w:p w:rsidR="00D23BCA" w:rsidRPr="003B1FCE" w:rsidRDefault="00D23BCA" w:rsidP="00D23BCA">
      <w:pPr>
        <w:spacing w:before="100" w:beforeAutospacing="1" w:after="100" w:afterAutospacing="1" w:line="360" w:lineRule="auto"/>
        <w:contextualSpacing/>
        <w:jc w:val="both"/>
        <w:rPr>
          <w:rFonts w:ascii="Arial" w:hAnsi="Arial" w:cs="Arial"/>
        </w:rPr>
      </w:pPr>
    </w:p>
    <w:p w:rsidR="00D23BCA" w:rsidRPr="003B1FCE" w:rsidRDefault="00D23BCA" w:rsidP="00D23BCA">
      <w:pPr>
        <w:spacing w:before="100" w:beforeAutospacing="1" w:after="100" w:afterAutospacing="1" w:line="360" w:lineRule="auto"/>
        <w:jc w:val="both"/>
        <w:rPr>
          <w:rFonts w:ascii="Arial" w:hAnsi="Arial" w:cs="Arial"/>
        </w:rPr>
      </w:pPr>
      <w:r w:rsidRPr="003B1FCE">
        <w:rPr>
          <w:rFonts w:ascii="Arial" w:hAnsi="Arial" w:cs="Arial"/>
        </w:rPr>
        <w:lastRenderedPageBreak/>
        <w:t xml:space="preserve">Con relación a las recomendaciones y observaciones emitidas al Poder Ejecutivo – </w:t>
      </w:r>
      <w:r w:rsidR="009217D9" w:rsidRPr="003B1FCE">
        <w:rPr>
          <w:rFonts w:ascii="Arial" w:hAnsi="Arial" w:cs="Arial"/>
        </w:rPr>
        <w:t>Órganos Desconcentrados, Fondos y Fideicomisos</w:t>
      </w:r>
      <w:r w:rsidRPr="003B1FCE">
        <w:rPr>
          <w:rFonts w:ascii="Arial" w:hAnsi="Arial" w:cs="Arial"/>
        </w:rPr>
        <w:t>,</w:t>
      </w:r>
      <w:r w:rsidR="009217D9" w:rsidRPr="003B1FCE">
        <w:rPr>
          <w:rFonts w:ascii="Arial" w:hAnsi="Arial" w:cs="Arial"/>
        </w:rPr>
        <w:t xml:space="preserve"> 56</w:t>
      </w:r>
      <w:r w:rsidRPr="003B1FCE">
        <w:rPr>
          <w:rFonts w:ascii="Arial" w:hAnsi="Arial" w:cs="Arial"/>
        </w:rPr>
        <w:t xml:space="preserve"> sujetos obligados atendieron las mismas</w:t>
      </w:r>
      <w:r w:rsidR="009217D9" w:rsidRPr="003B1FCE">
        <w:rPr>
          <w:rFonts w:ascii="Arial" w:hAnsi="Arial" w:cs="Arial"/>
        </w:rPr>
        <w:t xml:space="preserve"> y siete no.</w:t>
      </w:r>
    </w:p>
    <w:p w:rsidR="009D6D61" w:rsidRPr="003B1FCE" w:rsidRDefault="009217D9" w:rsidP="00D23BCA">
      <w:pPr>
        <w:spacing w:before="100" w:beforeAutospacing="1" w:after="100" w:afterAutospacing="1" w:line="360" w:lineRule="auto"/>
        <w:jc w:val="both"/>
        <w:rPr>
          <w:rFonts w:ascii="Arial" w:hAnsi="Arial" w:cs="Arial"/>
        </w:rPr>
      </w:pPr>
      <w:r w:rsidRPr="003B1FCE">
        <w:rPr>
          <w:rFonts w:ascii="Arial" w:hAnsi="Arial" w:cs="Arial"/>
        </w:rPr>
        <w:t xml:space="preserve">De los 56 sujetos </w:t>
      </w:r>
      <w:r w:rsidR="00900995" w:rsidRPr="003B1FCE">
        <w:rPr>
          <w:rFonts w:ascii="Arial" w:hAnsi="Arial" w:cs="Arial"/>
        </w:rPr>
        <w:t>anteriormente</w:t>
      </w:r>
      <w:r w:rsidRPr="003B1FCE">
        <w:rPr>
          <w:rFonts w:ascii="Arial" w:hAnsi="Arial" w:cs="Arial"/>
        </w:rPr>
        <w:t xml:space="preserve"> mencionados, ocho </w:t>
      </w:r>
      <w:r w:rsidR="00900995" w:rsidRPr="003B1FCE">
        <w:rPr>
          <w:rFonts w:ascii="Arial" w:hAnsi="Arial" w:cs="Arial"/>
        </w:rPr>
        <w:t>sujetos</w:t>
      </w:r>
      <w:r w:rsidRPr="003B1FCE">
        <w:rPr>
          <w:rFonts w:ascii="Arial" w:hAnsi="Arial" w:cs="Arial"/>
        </w:rPr>
        <w:t xml:space="preserve"> </w:t>
      </w:r>
      <w:r w:rsidR="00900995" w:rsidRPr="003B1FCE">
        <w:rPr>
          <w:rFonts w:ascii="Arial" w:hAnsi="Arial" w:cs="Arial"/>
        </w:rPr>
        <w:t>atendieron</w:t>
      </w:r>
      <w:r w:rsidRPr="003B1FCE">
        <w:rPr>
          <w:rFonts w:ascii="Arial" w:hAnsi="Arial" w:cs="Arial"/>
        </w:rPr>
        <w:t xml:space="preserve"> a cabalidad las recomendaciones emitidas en la Primera Evaluación Vinculante 2019, por lo que alcanzó un IGOT de 100%;</w:t>
      </w:r>
      <w:r w:rsidR="009D6D61" w:rsidRPr="003B1FCE">
        <w:rPr>
          <w:rFonts w:ascii="Arial" w:hAnsi="Arial" w:cs="Arial"/>
        </w:rPr>
        <w:t xml:space="preserve"> 45 sujetos se encuentran ubicados en un </w:t>
      </w:r>
      <w:r w:rsidR="00900995" w:rsidRPr="003B1FCE">
        <w:rPr>
          <w:rFonts w:ascii="Arial" w:hAnsi="Arial" w:cs="Arial"/>
        </w:rPr>
        <w:t>cumplimiento</w:t>
      </w:r>
      <w:r w:rsidR="009D6D61" w:rsidRPr="003B1FCE">
        <w:rPr>
          <w:rFonts w:ascii="Arial" w:hAnsi="Arial" w:cs="Arial"/>
        </w:rPr>
        <w:t xml:space="preserve"> parcial y tres en </w:t>
      </w:r>
      <w:r w:rsidR="00900995" w:rsidRPr="003B1FCE">
        <w:rPr>
          <w:rFonts w:ascii="Arial" w:hAnsi="Arial" w:cs="Arial"/>
        </w:rPr>
        <w:t>incumplimiento</w:t>
      </w:r>
      <w:r w:rsidR="009D6D61" w:rsidRPr="003B1FCE">
        <w:rPr>
          <w:rFonts w:ascii="Arial" w:hAnsi="Arial" w:cs="Arial"/>
        </w:rPr>
        <w:t xml:space="preserve"> parcial.</w:t>
      </w:r>
    </w:p>
    <w:p w:rsidR="009217D9" w:rsidRPr="003B1FCE" w:rsidRDefault="009217D9" w:rsidP="00D23BCA">
      <w:pPr>
        <w:spacing w:before="100" w:beforeAutospacing="1" w:after="100" w:afterAutospacing="1" w:line="360" w:lineRule="auto"/>
        <w:jc w:val="both"/>
        <w:rPr>
          <w:rFonts w:ascii="Arial" w:hAnsi="Arial" w:cs="Arial"/>
        </w:rPr>
      </w:pPr>
      <w:r w:rsidRPr="003B1FCE">
        <w:rPr>
          <w:rFonts w:ascii="Arial" w:hAnsi="Arial" w:cs="Arial"/>
        </w:rPr>
        <w:t xml:space="preserve">31 sujetos tuvieron un IGOT entre 90% y 99%; nueve sujetos un IGOT entre 80% y 89%; tres </w:t>
      </w:r>
      <w:r w:rsidR="00900995" w:rsidRPr="003B1FCE">
        <w:rPr>
          <w:rFonts w:ascii="Arial" w:hAnsi="Arial" w:cs="Arial"/>
        </w:rPr>
        <w:t>logaron</w:t>
      </w:r>
      <w:r w:rsidRPr="003B1FCE">
        <w:rPr>
          <w:rFonts w:ascii="Arial" w:hAnsi="Arial" w:cs="Arial"/>
        </w:rPr>
        <w:t xml:space="preserve"> un IGOT entre 70% y 79%; dos un IGOT entre 60% y 69% y tres un IGOT entre 20% y 59%. </w:t>
      </w:r>
    </w:p>
    <w:p w:rsidR="009D6D61" w:rsidRPr="003B1FCE" w:rsidRDefault="009D6D61" w:rsidP="00D23BCA">
      <w:pPr>
        <w:spacing w:before="100" w:beforeAutospacing="1" w:after="100" w:afterAutospacing="1" w:line="360" w:lineRule="auto"/>
        <w:jc w:val="both"/>
        <w:rPr>
          <w:rFonts w:ascii="Arial" w:hAnsi="Arial" w:cs="Arial"/>
        </w:rPr>
      </w:pPr>
      <w:r w:rsidRPr="003B1FCE">
        <w:rPr>
          <w:rFonts w:ascii="Arial" w:hAnsi="Arial" w:cs="Arial"/>
        </w:rPr>
        <w:t xml:space="preserve">De los siete sujetos que no </w:t>
      </w:r>
      <w:r w:rsidR="00900995" w:rsidRPr="003B1FCE">
        <w:rPr>
          <w:rFonts w:ascii="Arial" w:hAnsi="Arial" w:cs="Arial"/>
        </w:rPr>
        <w:t>atendieron</w:t>
      </w:r>
      <w:r w:rsidRPr="003B1FCE">
        <w:rPr>
          <w:rFonts w:ascii="Arial" w:hAnsi="Arial" w:cs="Arial"/>
        </w:rPr>
        <w:t xml:space="preserve"> las recomendaciones y observaciones, cinco </w:t>
      </w:r>
      <w:r w:rsidR="00900995" w:rsidRPr="003B1FCE">
        <w:rPr>
          <w:rFonts w:ascii="Arial" w:hAnsi="Arial" w:cs="Arial"/>
        </w:rPr>
        <w:t>permanecieron</w:t>
      </w:r>
      <w:r w:rsidRPr="003B1FCE">
        <w:rPr>
          <w:rFonts w:ascii="Arial" w:hAnsi="Arial" w:cs="Arial"/>
        </w:rPr>
        <w:t xml:space="preserve"> con el mismo índice global y dos </w:t>
      </w:r>
      <w:r w:rsidR="00900995" w:rsidRPr="003B1FCE">
        <w:rPr>
          <w:rFonts w:ascii="Arial" w:hAnsi="Arial" w:cs="Arial"/>
        </w:rPr>
        <w:t>sujetos tuvieron</w:t>
      </w:r>
      <w:r w:rsidRPr="003B1FCE">
        <w:rPr>
          <w:rFonts w:ascii="Arial" w:hAnsi="Arial" w:cs="Arial"/>
        </w:rPr>
        <w:t xml:space="preserve"> un decremento en su índice. </w:t>
      </w:r>
    </w:p>
    <w:p w:rsidR="00D23BCA" w:rsidRPr="003B1FCE" w:rsidRDefault="00D23BCA" w:rsidP="00D23BCA">
      <w:pPr>
        <w:spacing w:before="100" w:beforeAutospacing="1" w:after="100" w:afterAutospacing="1" w:line="360" w:lineRule="auto"/>
        <w:jc w:val="both"/>
        <w:rPr>
          <w:rFonts w:ascii="Arial" w:hAnsi="Arial" w:cs="Arial"/>
        </w:rPr>
      </w:pPr>
      <w:r w:rsidRPr="003B1FCE">
        <w:rPr>
          <w:rFonts w:ascii="Arial" w:hAnsi="Arial" w:cs="Arial"/>
        </w:rPr>
        <w:t xml:space="preserve">Los sujetos de este ámbito tuvieron una mejoría promedio en su índice de </w:t>
      </w:r>
      <w:r w:rsidR="009D6D61" w:rsidRPr="003B1FCE">
        <w:rPr>
          <w:rFonts w:ascii="Arial" w:hAnsi="Arial" w:cs="Arial"/>
        </w:rPr>
        <w:t>13.07</w:t>
      </w:r>
      <w:r w:rsidR="00900995" w:rsidRPr="003B1FCE">
        <w:rPr>
          <w:rFonts w:ascii="Arial" w:hAnsi="Arial" w:cs="Arial"/>
        </w:rPr>
        <w:t xml:space="preserve"> puntos</w:t>
      </w:r>
      <w:r w:rsidRPr="003B1FCE">
        <w:rPr>
          <w:rFonts w:ascii="Arial" w:hAnsi="Arial" w:cs="Arial"/>
        </w:rPr>
        <w:t>.</w:t>
      </w:r>
    </w:p>
    <w:p w:rsidR="00D23BCA" w:rsidRPr="003B1FCE" w:rsidRDefault="00D23BCA" w:rsidP="00F64E7A">
      <w:pPr>
        <w:ind w:left="360" w:hanging="360"/>
        <w:contextualSpacing/>
      </w:pPr>
    </w:p>
    <w:p w:rsidR="00FF7BD9" w:rsidRPr="003B1FCE" w:rsidRDefault="00FF7BD9" w:rsidP="00FF7BD9">
      <w:pPr>
        <w:rPr>
          <w:rFonts w:ascii="Arial" w:hAnsi="Arial" w:cs="Arial"/>
          <w:b/>
        </w:rPr>
      </w:pPr>
    </w:p>
    <w:p w:rsidR="00FF7BD9" w:rsidRPr="003B1FCE" w:rsidRDefault="00FF7BD9">
      <w:pPr>
        <w:rPr>
          <w:rFonts w:ascii="Arial" w:hAnsi="Arial" w:cs="Arial"/>
          <w:b/>
        </w:rPr>
      </w:pPr>
      <w:r w:rsidRPr="003B1FCE">
        <w:rPr>
          <w:rFonts w:ascii="Arial" w:hAnsi="Arial" w:cs="Arial"/>
          <w:b/>
        </w:rPr>
        <w:br w:type="page"/>
      </w:r>
    </w:p>
    <w:p w:rsidR="00F64E7A" w:rsidRPr="003B1FCE" w:rsidRDefault="00F64E7A" w:rsidP="000D019A">
      <w:pPr>
        <w:pStyle w:val="Ttulo1"/>
        <w:contextualSpacing/>
        <w:rPr>
          <w:rFonts w:ascii="Arial" w:hAnsi="Arial" w:cs="Arial"/>
          <w:b/>
          <w:color w:val="000000" w:themeColor="text1"/>
          <w:sz w:val="24"/>
          <w:szCs w:val="24"/>
        </w:rPr>
      </w:pPr>
      <w:bookmarkStart w:id="17" w:name="_Toc26913256"/>
      <w:r w:rsidRPr="003B1FCE">
        <w:rPr>
          <w:rFonts w:ascii="Arial" w:hAnsi="Arial" w:cs="Arial"/>
          <w:b/>
          <w:color w:val="000000" w:themeColor="text1"/>
          <w:sz w:val="24"/>
          <w:szCs w:val="24"/>
        </w:rPr>
        <w:lastRenderedPageBreak/>
        <w:t>PODER EJECUTIVO – DEMARCACIONES TERRITORIALES</w:t>
      </w:r>
      <w:bookmarkEnd w:id="17"/>
    </w:p>
    <w:p w:rsidR="00F64E7A" w:rsidRPr="003B1FCE" w:rsidRDefault="00F64E7A" w:rsidP="00F64E7A">
      <w:pPr>
        <w:contextualSpacing/>
        <w:rPr>
          <w:rFonts w:ascii="Arial" w:hAnsi="Arial" w:cs="Arial"/>
        </w:rPr>
      </w:pPr>
    </w:p>
    <w:p w:rsidR="00F64E7A" w:rsidRPr="003B1FCE" w:rsidRDefault="00F64E7A" w:rsidP="00F64E7A">
      <w:pPr>
        <w:spacing w:before="100" w:beforeAutospacing="1" w:after="100" w:afterAutospacing="1" w:line="360" w:lineRule="auto"/>
        <w:contextualSpacing/>
        <w:jc w:val="both"/>
        <w:rPr>
          <w:rFonts w:ascii="Arial" w:hAnsi="Arial" w:cs="Arial"/>
        </w:rPr>
      </w:pPr>
      <w:r w:rsidRPr="003B1FCE">
        <w:rPr>
          <w:rFonts w:ascii="Arial" w:hAnsi="Arial" w:cs="Arial"/>
        </w:rPr>
        <w:t>El ámbito del Poder Ejecutivo – Demarcaciones Territoriales está integrado por 16 sujetos obligados, de conformidad con el Padrón de sujetos obligados supeditados al cumplimiento de la Ley de Transparencia, Acceso a la Información Pública y Rendición de Cuentas de la Ciudad de México</w:t>
      </w:r>
      <w:r w:rsidRPr="003B1FCE" w:rsidDel="005B5D1B">
        <w:rPr>
          <w:rFonts w:ascii="Arial" w:hAnsi="Arial" w:cs="Arial"/>
        </w:rPr>
        <w:t xml:space="preserve"> </w:t>
      </w:r>
      <w:r w:rsidRPr="003B1FCE">
        <w:rPr>
          <w:rFonts w:ascii="Arial" w:hAnsi="Arial" w:cs="Arial"/>
        </w:rPr>
        <w:t xml:space="preserve">y de la Ley de Protección de Datos Personales en Posesión de los sujetos obligados de la Ciudad de México vigente al 31 de diciembre de 2018. La totalidad de sujetos de este ámbito fueron evaluados debido a que ninguno alcanzó el cumplimiento total de sus obligaciones de transparencia en la Primera Evaluación Vinculante 2019. </w:t>
      </w:r>
    </w:p>
    <w:p w:rsidR="00F64E7A" w:rsidRPr="003B1FCE" w:rsidRDefault="00F64E7A" w:rsidP="00F64E7A">
      <w:pPr>
        <w:spacing w:before="100" w:beforeAutospacing="1" w:after="100" w:afterAutospacing="1" w:line="360" w:lineRule="auto"/>
        <w:contextualSpacing/>
        <w:jc w:val="both"/>
        <w:rPr>
          <w:rFonts w:ascii="Arial" w:hAnsi="Arial" w:cs="Arial"/>
        </w:rPr>
      </w:pPr>
    </w:p>
    <w:p w:rsidR="00F64E7A" w:rsidRPr="003B1FCE" w:rsidRDefault="00F64E7A" w:rsidP="00F64E7A">
      <w:pPr>
        <w:spacing w:before="100" w:beforeAutospacing="1" w:after="100" w:afterAutospacing="1" w:line="360" w:lineRule="auto"/>
        <w:contextualSpacing/>
        <w:jc w:val="both"/>
        <w:rPr>
          <w:rFonts w:ascii="Arial" w:hAnsi="Arial" w:cs="Arial"/>
        </w:rPr>
      </w:pPr>
      <w:r w:rsidRPr="003B1FCE">
        <w:rPr>
          <w:rFonts w:ascii="Arial" w:hAnsi="Arial" w:cs="Arial"/>
        </w:rPr>
        <w:t xml:space="preserve">Los sujetos obligados, así como su Índice de Cumplimiento de obligaciones de transparencia del Portal de Internet (IGOT-PI), el de la Plataforma Nacional de Transparencia (IGOT-PNT) y el Índice General de Cumplimiento de obligaciones de transparencia (IGOT) se presentan en la siguiente tabla, ordenados de forma descendente, respecto del IGOT: </w:t>
      </w:r>
    </w:p>
    <w:p w:rsidR="00F64E7A" w:rsidRPr="003B1FCE" w:rsidRDefault="00F64E7A" w:rsidP="00F64E7A">
      <w:pPr>
        <w:spacing w:before="100" w:beforeAutospacing="1" w:after="100" w:afterAutospacing="1" w:line="360" w:lineRule="auto"/>
        <w:contextualSpacing/>
        <w:jc w:val="both"/>
        <w:rPr>
          <w:rFonts w:ascii="Arial" w:hAnsi="Arial" w:cs="Arial"/>
        </w:rPr>
      </w:pPr>
    </w:p>
    <w:tbl>
      <w:tblPr>
        <w:tblW w:w="8926" w:type="dxa"/>
        <w:tblCellMar>
          <w:left w:w="70" w:type="dxa"/>
          <w:right w:w="70" w:type="dxa"/>
        </w:tblCellMar>
        <w:tblLook w:val="04A0" w:firstRow="1" w:lastRow="0" w:firstColumn="1" w:lastColumn="0" w:noHBand="0" w:noVBand="1"/>
      </w:tblPr>
      <w:tblGrid>
        <w:gridCol w:w="529"/>
        <w:gridCol w:w="5136"/>
        <w:gridCol w:w="1123"/>
        <w:gridCol w:w="1263"/>
        <w:gridCol w:w="875"/>
      </w:tblGrid>
      <w:tr w:rsidR="00F64E7A" w:rsidRPr="003B1FCE" w:rsidTr="00B018FB">
        <w:trPr>
          <w:trHeight w:val="860"/>
          <w:tblHeader/>
        </w:trPr>
        <w:tc>
          <w:tcPr>
            <w:tcW w:w="8926" w:type="dxa"/>
            <w:gridSpan w:val="5"/>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F64E7A" w:rsidRPr="003B1FCE" w:rsidRDefault="00F64E7A" w:rsidP="00D23BCA">
            <w:pPr>
              <w:jc w:val="center"/>
              <w:rPr>
                <w:rFonts w:ascii="Arial" w:hAnsi="Arial" w:cs="Arial"/>
                <w:b/>
                <w:bCs/>
                <w:color w:val="000000"/>
                <w:sz w:val="20"/>
                <w:szCs w:val="20"/>
              </w:rPr>
            </w:pPr>
            <w:r w:rsidRPr="003B1FCE">
              <w:rPr>
                <w:rFonts w:ascii="Arial" w:hAnsi="Arial" w:cs="Arial"/>
                <w:b/>
                <w:bCs/>
                <w:color w:val="000000"/>
                <w:sz w:val="20"/>
                <w:szCs w:val="20"/>
              </w:rPr>
              <w:t>Resultados de la Tercera Evaluación Vinculante 2019, respecto de las recomendaciones y observaciones de la Primera Evaluación Vinculante 2019</w:t>
            </w:r>
          </w:p>
        </w:tc>
      </w:tr>
      <w:tr w:rsidR="00F64E7A" w:rsidRPr="003B1FCE" w:rsidTr="00B018FB">
        <w:trPr>
          <w:trHeight w:val="340"/>
          <w:tblHeader/>
        </w:trPr>
        <w:tc>
          <w:tcPr>
            <w:tcW w:w="529" w:type="dxa"/>
            <w:tcBorders>
              <w:top w:val="nil"/>
              <w:left w:val="single" w:sz="4" w:space="0" w:color="auto"/>
              <w:bottom w:val="single" w:sz="4" w:space="0" w:color="auto"/>
              <w:right w:val="single" w:sz="4" w:space="0" w:color="auto"/>
            </w:tcBorders>
            <w:shd w:val="clear" w:color="auto" w:fill="ED7D31" w:themeFill="accent2"/>
            <w:vAlign w:val="center"/>
            <w:hideMark/>
          </w:tcPr>
          <w:p w:rsidR="00F64E7A" w:rsidRPr="003B1FCE" w:rsidRDefault="00F64E7A" w:rsidP="00D23BCA">
            <w:pPr>
              <w:jc w:val="center"/>
              <w:rPr>
                <w:rFonts w:ascii="Arial" w:hAnsi="Arial" w:cs="Arial"/>
                <w:b/>
                <w:bCs/>
                <w:color w:val="000000"/>
                <w:sz w:val="20"/>
                <w:szCs w:val="20"/>
              </w:rPr>
            </w:pPr>
            <w:r w:rsidRPr="003B1FCE">
              <w:rPr>
                <w:rFonts w:ascii="Arial" w:hAnsi="Arial" w:cs="Arial"/>
                <w:b/>
                <w:bCs/>
                <w:color w:val="000000"/>
                <w:sz w:val="20"/>
                <w:szCs w:val="20"/>
              </w:rPr>
              <w:t>No.</w:t>
            </w:r>
          </w:p>
        </w:tc>
        <w:tc>
          <w:tcPr>
            <w:tcW w:w="5136" w:type="dxa"/>
            <w:tcBorders>
              <w:top w:val="nil"/>
              <w:left w:val="nil"/>
              <w:bottom w:val="single" w:sz="4" w:space="0" w:color="auto"/>
              <w:right w:val="single" w:sz="4" w:space="0" w:color="auto"/>
            </w:tcBorders>
            <w:shd w:val="clear" w:color="auto" w:fill="ED7D31" w:themeFill="accent2"/>
            <w:vAlign w:val="center"/>
            <w:hideMark/>
          </w:tcPr>
          <w:p w:rsidR="00F64E7A" w:rsidRPr="003B1FCE" w:rsidRDefault="00F64E7A" w:rsidP="00D23BCA">
            <w:pPr>
              <w:jc w:val="center"/>
              <w:rPr>
                <w:rFonts w:ascii="Arial" w:hAnsi="Arial" w:cs="Arial"/>
                <w:b/>
                <w:bCs/>
                <w:color w:val="000000"/>
                <w:sz w:val="20"/>
                <w:szCs w:val="20"/>
              </w:rPr>
            </w:pPr>
            <w:r w:rsidRPr="003B1FCE">
              <w:rPr>
                <w:rFonts w:ascii="Arial" w:hAnsi="Arial" w:cs="Arial"/>
                <w:b/>
                <w:bCs/>
                <w:color w:val="000000"/>
                <w:sz w:val="20"/>
                <w:szCs w:val="20"/>
              </w:rPr>
              <w:t>Sujeto obligado</w:t>
            </w:r>
          </w:p>
        </w:tc>
        <w:tc>
          <w:tcPr>
            <w:tcW w:w="1123" w:type="dxa"/>
            <w:tcBorders>
              <w:top w:val="nil"/>
              <w:left w:val="nil"/>
              <w:bottom w:val="single" w:sz="4" w:space="0" w:color="auto"/>
              <w:right w:val="single" w:sz="4" w:space="0" w:color="auto"/>
            </w:tcBorders>
            <w:shd w:val="clear" w:color="auto" w:fill="ED7D31" w:themeFill="accent2"/>
            <w:vAlign w:val="center"/>
            <w:hideMark/>
          </w:tcPr>
          <w:p w:rsidR="00F64E7A" w:rsidRPr="003B1FCE" w:rsidRDefault="00F64E7A" w:rsidP="00D23BCA">
            <w:pPr>
              <w:jc w:val="center"/>
              <w:rPr>
                <w:rFonts w:ascii="Arial" w:hAnsi="Arial" w:cs="Arial"/>
                <w:b/>
                <w:bCs/>
                <w:color w:val="000000"/>
                <w:sz w:val="20"/>
                <w:szCs w:val="20"/>
              </w:rPr>
            </w:pPr>
            <w:r w:rsidRPr="003B1FCE">
              <w:rPr>
                <w:rFonts w:ascii="Arial" w:hAnsi="Arial" w:cs="Arial"/>
                <w:b/>
                <w:bCs/>
                <w:color w:val="000000"/>
                <w:sz w:val="20"/>
                <w:szCs w:val="20"/>
              </w:rPr>
              <w:t>ICOT-PI</w:t>
            </w:r>
          </w:p>
        </w:tc>
        <w:tc>
          <w:tcPr>
            <w:tcW w:w="1263" w:type="dxa"/>
            <w:tcBorders>
              <w:top w:val="nil"/>
              <w:left w:val="nil"/>
              <w:bottom w:val="single" w:sz="4" w:space="0" w:color="auto"/>
              <w:right w:val="single" w:sz="4" w:space="0" w:color="auto"/>
            </w:tcBorders>
            <w:shd w:val="clear" w:color="auto" w:fill="ED7D31" w:themeFill="accent2"/>
            <w:vAlign w:val="center"/>
            <w:hideMark/>
          </w:tcPr>
          <w:p w:rsidR="00F64E7A" w:rsidRPr="003B1FCE" w:rsidRDefault="00F64E7A" w:rsidP="00D23BCA">
            <w:pPr>
              <w:jc w:val="center"/>
              <w:rPr>
                <w:rFonts w:ascii="Arial" w:hAnsi="Arial" w:cs="Arial"/>
                <w:b/>
                <w:bCs/>
                <w:color w:val="000000"/>
                <w:sz w:val="20"/>
                <w:szCs w:val="20"/>
              </w:rPr>
            </w:pPr>
            <w:r w:rsidRPr="003B1FCE">
              <w:rPr>
                <w:rFonts w:ascii="Arial" w:hAnsi="Arial" w:cs="Arial"/>
                <w:b/>
                <w:bCs/>
                <w:color w:val="000000"/>
                <w:sz w:val="20"/>
                <w:szCs w:val="20"/>
              </w:rPr>
              <w:t>ICOT-PNT</w:t>
            </w:r>
          </w:p>
        </w:tc>
        <w:tc>
          <w:tcPr>
            <w:tcW w:w="875" w:type="dxa"/>
            <w:tcBorders>
              <w:top w:val="nil"/>
              <w:left w:val="nil"/>
              <w:bottom w:val="single" w:sz="4" w:space="0" w:color="auto"/>
              <w:right w:val="single" w:sz="4" w:space="0" w:color="auto"/>
            </w:tcBorders>
            <w:shd w:val="clear" w:color="auto" w:fill="ED7D31" w:themeFill="accent2"/>
            <w:vAlign w:val="center"/>
            <w:hideMark/>
          </w:tcPr>
          <w:p w:rsidR="00F64E7A" w:rsidRPr="003B1FCE" w:rsidRDefault="00F64E7A" w:rsidP="00D23BCA">
            <w:pPr>
              <w:jc w:val="center"/>
              <w:rPr>
                <w:rFonts w:ascii="Arial" w:hAnsi="Arial" w:cs="Arial"/>
                <w:b/>
                <w:bCs/>
                <w:color w:val="000000"/>
                <w:sz w:val="20"/>
                <w:szCs w:val="20"/>
              </w:rPr>
            </w:pPr>
            <w:r w:rsidRPr="003B1FCE">
              <w:rPr>
                <w:rFonts w:ascii="Arial" w:hAnsi="Arial" w:cs="Arial"/>
                <w:b/>
                <w:bCs/>
                <w:color w:val="000000"/>
                <w:sz w:val="20"/>
                <w:szCs w:val="20"/>
              </w:rPr>
              <w:t>IGOT</w:t>
            </w:r>
          </w:p>
        </w:tc>
      </w:tr>
      <w:tr w:rsidR="00F64E7A" w:rsidRPr="003B1FCE" w:rsidTr="00F64E7A">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1</w:t>
            </w:r>
          </w:p>
        </w:tc>
        <w:tc>
          <w:tcPr>
            <w:tcW w:w="5136"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rPr>
                <w:rFonts w:ascii="Arial" w:hAnsi="Arial" w:cs="Arial"/>
                <w:color w:val="000000"/>
                <w:sz w:val="20"/>
                <w:szCs w:val="20"/>
              </w:rPr>
            </w:pPr>
            <w:r w:rsidRPr="003B1FCE">
              <w:rPr>
                <w:rFonts w:ascii="Arial" w:hAnsi="Arial" w:cs="Arial"/>
                <w:color w:val="000000"/>
                <w:sz w:val="20"/>
                <w:szCs w:val="20"/>
              </w:rPr>
              <w:t>Delegación Cuajimalpa de Morelos</w:t>
            </w:r>
          </w:p>
        </w:tc>
        <w:tc>
          <w:tcPr>
            <w:tcW w:w="112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100.00</w:t>
            </w:r>
          </w:p>
        </w:tc>
      </w:tr>
      <w:tr w:rsidR="00F64E7A" w:rsidRPr="003B1FCE" w:rsidTr="00F64E7A">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2</w:t>
            </w:r>
          </w:p>
        </w:tc>
        <w:tc>
          <w:tcPr>
            <w:tcW w:w="5136"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rPr>
                <w:rFonts w:ascii="Arial" w:hAnsi="Arial" w:cs="Arial"/>
                <w:color w:val="000000"/>
                <w:sz w:val="20"/>
                <w:szCs w:val="20"/>
              </w:rPr>
            </w:pPr>
            <w:r w:rsidRPr="003B1FCE">
              <w:rPr>
                <w:rFonts w:ascii="Arial" w:hAnsi="Arial" w:cs="Arial"/>
                <w:color w:val="000000"/>
                <w:sz w:val="20"/>
                <w:szCs w:val="20"/>
              </w:rPr>
              <w:t>Delegación Cuauhtémoc</w:t>
            </w:r>
          </w:p>
        </w:tc>
        <w:tc>
          <w:tcPr>
            <w:tcW w:w="112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100.00</w:t>
            </w:r>
          </w:p>
        </w:tc>
      </w:tr>
      <w:tr w:rsidR="00F64E7A" w:rsidRPr="003B1FCE" w:rsidTr="00F64E7A">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3</w:t>
            </w:r>
          </w:p>
        </w:tc>
        <w:tc>
          <w:tcPr>
            <w:tcW w:w="5136"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rPr>
                <w:rFonts w:ascii="Arial" w:hAnsi="Arial" w:cs="Arial"/>
                <w:color w:val="000000"/>
                <w:sz w:val="20"/>
                <w:szCs w:val="20"/>
              </w:rPr>
            </w:pPr>
            <w:r w:rsidRPr="003B1FCE">
              <w:rPr>
                <w:rFonts w:ascii="Arial" w:hAnsi="Arial" w:cs="Arial"/>
                <w:color w:val="000000"/>
                <w:sz w:val="20"/>
                <w:szCs w:val="20"/>
              </w:rPr>
              <w:t>Delegación Venustiano Carranza</w:t>
            </w:r>
          </w:p>
        </w:tc>
        <w:tc>
          <w:tcPr>
            <w:tcW w:w="112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100.00</w:t>
            </w:r>
          </w:p>
        </w:tc>
      </w:tr>
      <w:tr w:rsidR="00F64E7A" w:rsidRPr="003B1FCE" w:rsidTr="00F64E7A">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4</w:t>
            </w:r>
          </w:p>
        </w:tc>
        <w:tc>
          <w:tcPr>
            <w:tcW w:w="5136"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rPr>
                <w:rFonts w:ascii="Arial" w:hAnsi="Arial" w:cs="Arial"/>
                <w:color w:val="000000"/>
                <w:sz w:val="20"/>
                <w:szCs w:val="20"/>
              </w:rPr>
            </w:pPr>
            <w:r w:rsidRPr="003B1FCE">
              <w:rPr>
                <w:rFonts w:ascii="Arial" w:hAnsi="Arial" w:cs="Arial"/>
                <w:color w:val="000000"/>
                <w:sz w:val="20"/>
                <w:szCs w:val="20"/>
              </w:rPr>
              <w:t>Delegación Iztapalapa</w:t>
            </w:r>
          </w:p>
        </w:tc>
        <w:tc>
          <w:tcPr>
            <w:tcW w:w="112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99.94</w:t>
            </w:r>
          </w:p>
        </w:tc>
        <w:tc>
          <w:tcPr>
            <w:tcW w:w="875"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99.97</w:t>
            </w:r>
          </w:p>
        </w:tc>
      </w:tr>
      <w:tr w:rsidR="00F64E7A" w:rsidRPr="003B1FCE" w:rsidTr="00F64E7A">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5</w:t>
            </w:r>
          </w:p>
        </w:tc>
        <w:tc>
          <w:tcPr>
            <w:tcW w:w="5136"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rPr>
                <w:rFonts w:ascii="Arial" w:hAnsi="Arial" w:cs="Arial"/>
                <w:color w:val="000000"/>
                <w:sz w:val="20"/>
                <w:szCs w:val="20"/>
              </w:rPr>
            </w:pPr>
            <w:r w:rsidRPr="003B1FCE">
              <w:rPr>
                <w:rFonts w:ascii="Arial" w:hAnsi="Arial" w:cs="Arial"/>
                <w:color w:val="000000"/>
                <w:sz w:val="20"/>
                <w:szCs w:val="20"/>
              </w:rPr>
              <w:t>Delegación Tláhuac</w:t>
            </w:r>
          </w:p>
        </w:tc>
        <w:tc>
          <w:tcPr>
            <w:tcW w:w="112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98.72</w:t>
            </w:r>
          </w:p>
        </w:tc>
        <w:tc>
          <w:tcPr>
            <w:tcW w:w="126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99.92</w:t>
            </w:r>
          </w:p>
        </w:tc>
        <w:tc>
          <w:tcPr>
            <w:tcW w:w="875"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99.32</w:t>
            </w:r>
          </w:p>
        </w:tc>
      </w:tr>
      <w:tr w:rsidR="00F64E7A" w:rsidRPr="003B1FCE" w:rsidTr="00F64E7A">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6</w:t>
            </w:r>
          </w:p>
        </w:tc>
        <w:tc>
          <w:tcPr>
            <w:tcW w:w="5136"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rPr>
                <w:rFonts w:ascii="Arial" w:hAnsi="Arial" w:cs="Arial"/>
                <w:color w:val="000000"/>
                <w:sz w:val="20"/>
                <w:szCs w:val="20"/>
              </w:rPr>
            </w:pPr>
            <w:r w:rsidRPr="003B1FCE">
              <w:rPr>
                <w:rFonts w:ascii="Arial" w:hAnsi="Arial" w:cs="Arial"/>
                <w:color w:val="000000"/>
                <w:sz w:val="20"/>
                <w:szCs w:val="20"/>
              </w:rPr>
              <w:t>Delegación Benito Juárez</w:t>
            </w:r>
          </w:p>
        </w:tc>
        <w:tc>
          <w:tcPr>
            <w:tcW w:w="112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98.47</w:t>
            </w:r>
          </w:p>
        </w:tc>
        <w:tc>
          <w:tcPr>
            <w:tcW w:w="126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98.81</w:t>
            </w:r>
          </w:p>
        </w:tc>
        <w:tc>
          <w:tcPr>
            <w:tcW w:w="875"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98.64</w:t>
            </w:r>
          </w:p>
        </w:tc>
      </w:tr>
      <w:tr w:rsidR="00F64E7A" w:rsidRPr="003B1FCE" w:rsidTr="00F64E7A">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lastRenderedPageBreak/>
              <w:t>7</w:t>
            </w:r>
          </w:p>
        </w:tc>
        <w:tc>
          <w:tcPr>
            <w:tcW w:w="5136"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rPr>
                <w:rFonts w:ascii="Arial" w:hAnsi="Arial" w:cs="Arial"/>
                <w:color w:val="000000"/>
                <w:sz w:val="20"/>
                <w:szCs w:val="20"/>
              </w:rPr>
            </w:pPr>
            <w:r w:rsidRPr="003B1FCE">
              <w:rPr>
                <w:rFonts w:ascii="Arial" w:hAnsi="Arial" w:cs="Arial"/>
                <w:color w:val="000000"/>
                <w:sz w:val="20"/>
                <w:szCs w:val="20"/>
              </w:rPr>
              <w:t>Delegación Azcapotzalco</w:t>
            </w:r>
          </w:p>
        </w:tc>
        <w:tc>
          <w:tcPr>
            <w:tcW w:w="112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97.90</w:t>
            </w:r>
          </w:p>
        </w:tc>
        <w:tc>
          <w:tcPr>
            <w:tcW w:w="126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98.03</w:t>
            </w:r>
          </w:p>
        </w:tc>
        <w:tc>
          <w:tcPr>
            <w:tcW w:w="875"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97.97</w:t>
            </w:r>
          </w:p>
        </w:tc>
      </w:tr>
      <w:tr w:rsidR="00F64E7A" w:rsidRPr="003B1FCE" w:rsidTr="00F64E7A">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8</w:t>
            </w:r>
          </w:p>
        </w:tc>
        <w:tc>
          <w:tcPr>
            <w:tcW w:w="5136"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rPr>
                <w:rFonts w:ascii="Arial" w:hAnsi="Arial" w:cs="Arial"/>
                <w:color w:val="000000"/>
                <w:sz w:val="20"/>
                <w:szCs w:val="20"/>
              </w:rPr>
            </w:pPr>
            <w:r w:rsidRPr="003B1FCE">
              <w:rPr>
                <w:rFonts w:ascii="Arial" w:hAnsi="Arial" w:cs="Arial"/>
                <w:color w:val="000000"/>
                <w:sz w:val="20"/>
                <w:szCs w:val="20"/>
              </w:rPr>
              <w:t>Delegación Tlalpan</w:t>
            </w:r>
          </w:p>
        </w:tc>
        <w:tc>
          <w:tcPr>
            <w:tcW w:w="112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96.88</w:t>
            </w:r>
          </w:p>
        </w:tc>
        <w:tc>
          <w:tcPr>
            <w:tcW w:w="126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89.85</w:t>
            </w:r>
          </w:p>
        </w:tc>
        <w:tc>
          <w:tcPr>
            <w:tcW w:w="875"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93.37</w:t>
            </w:r>
          </w:p>
        </w:tc>
      </w:tr>
      <w:tr w:rsidR="00F64E7A" w:rsidRPr="003B1FCE" w:rsidTr="00F64E7A">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9</w:t>
            </w:r>
          </w:p>
        </w:tc>
        <w:tc>
          <w:tcPr>
            <w:tcW w:w="5136"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rPr>
                <w:rFonts w:ascii="Arial" w:hAnsi="Arial" w:cs="Arial"/>
                <w:color w:val="000000"/>
                <w:sz w:val="20"/>
                <w:szCs w:val="20"/>
              </w:rPr>
            </w:pPr>
            <w:r w:rsidRPr="003B1FCE">
              <w:rPr>
                <w:rFonts w:ascii="Arial" w:hAnsi="Arial" w:cs="Arial"/>
                <w:color w:val="000000"/>
                <w:sz w:val="20"/>
                <w:szCs w:val="20"/>
              </w:rPr>
              <w:t>Delegación La Magdalena Contreras</w:t>
            </w:r>
          </w:p>
        </w:tc>
        <w:tc>
          <w:tcPr>
            <w:tcW w:w="112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92.97</w:t>
            </w:r>
          </w:p>
        </w:tc>
        <w:tc>
          <w:tcPr>
            <w:tcW w:w="126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90.73</w:t>
            </w:r>
          </w:p>
        </w:tc>
        <w:tc>
          <w:tcPr>
            <w:tcW w:w="875"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91.85</w:t>
            </w:r>
          </w:p>
        </w:tc>
      </w:tr>
      <w:tr w:rsidR="00F64E7A" w:rsidRPr="003B1FCE" w:rsidTr="00F64E7A">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10</w:t>
            </w:r>
          </w:p>
        </w:tc>
        <w:tc>
          <w:tcPr>
            <w:tcW w:w="5136"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rPr>
                <w:rFonts w:ascii="Arial" w:hAnsi="Arial" w:cs="Arial"/>
                <w:color w:val="000000"/>
                <w:sz w:val="20"/>
                <w:szCs w:val="20"/>
              </w:rPr>
            </w:pPr>
            <w:r w:rsidRPr="003B1FCE">
              <w:rPr>
                <w:rFonts w:ascii="Arial" w:hAnsi="Arial" w:cs="Arial"/>
                <w:color w:val="000000"/>
                <w:sz w:val="20"/>
                <w:szCs w:val="20"/>
              </w:rPr>
              <w:t>Delegación Gustavo A. Madero</w:t>
            </w:r>
          </w:p>
        </w:tc>
        <w:tc>
          <w:tcPr>
            <w:tcW w:w="112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91.43</w:t>
            </w:r>
          </w:p>
        </w:tc>
        <w:tc>
          <w:tcPr>
            <w:tcW w:w="126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89.47</w:t>
            </w:r>
          </w:p>
        </w:tc>
        <w:tc>
          <w:tcPr>
            <w:tcW w:w="875"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90.45</w:t>
            </w:r>
          </w:p>
        </w:tc>
      </w:tr>
      <w:tr w:rsidR="00F64E7A" w:rsidRPr="003B1FCE" w:rsidTr="00F64E7A">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11</w:t>
            </w:r>
          </w:p>
        </w:tc>
        <w:tc>
          <w:tcPr>
            <w:tcW w:w="5136"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rPr>
                <w:rFonts w:ascii="Arial" w:hAnsi="Arial" w:cs="Arial"/>
                <w:color w:val="000000"/>
                <w:sz w:val="20"/>
                <w:szCs w:val="20"/>
              </w:rPr>
            </w:pPr>
            <w:r w:rsidRPr="003B1FCE">
              <w:rPr>
                <w:rFonts w:ascii="Arial" w:hAnsi="Arial" w:cs="Arial"/>
                <w:color w:val="000000"/>
                <w:sz w:val="20"/>
                <w:szCs w:val="20"/>
              </w:rPr>
              <w:t>Delegación Álvaro Obregón</w:t>
            </w:r>
          </w:p>
        </w:tc>
        <w:tc>
          <w:tcPr>
            <w:tcW w:w="112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87.95</w:t>
            </w:r>
          </w:p>
        </w:tc>
        <w:tc>
          <w:tcPr>
            <w:tcW w:w="126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89.71</w:t>
            </w:r>
          </w:p>
        </w:tc>
        <w:tc>
          <w:tcPr>
            <w:tcW w:w="875"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88.83</w:t>
            </w:r>
          </w:p>
        </w:tc>
      </w:tr>
      <w:tr w:rsidR="00F64E7A" w:rsidRPr="003B1FCE" w:rsidTr="00F64E7A">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12</w:t>
            </w:r>
          </w:p>
        </w:tc>
        <w:tc>
          <w:tcPr>
            <w:tcW w:w="5136"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rPr>
                <w:rFonts w:ascii="Arial" w:hAnsi="Arial" w:cs="Arial"/>
                <w:color w:val="000000"/>
                <w:sz w:val="20"/>
                <w:szCs w:val="20"/>
              </w:rPr>
            </w:pPr>
            <w:r w:rsidRPr="003B1FCE">
              <w:rPr>
                <w:rFonts w:ascii="Arial" w:hAnsi="Arial" w:cs="Arial"/>
                <w:color w:val="000000"/>
                <w:sz w:val="20"/>
                <w:szCs w:val="20"/>
              </w:rPr>
              <w:t>Delegación Milpa Alta</w:t>
            </w:r>
          </w:p>
        </w:tc>
        <w:tc>
          <w:tcPr>
            <w:tcW w:w="112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82.08</w:t>
            </w:r>
          </w:p>
        </w:tc>
        <w:tc>
          <w:tcPr>
            <w:tcW w:w="126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91.25</w:t>
            </w:r>
          </w:p>
        </w:tc>
        <w:tc>
          <w:tcPr>
            <w:tcW w:w="875"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86.67</w:t>
            </w:r>
          </w:p>
        </w:tc>
      </w:tr>
      <w:tr w:rsidR="00F64E7A" w:rsidRPr="003B1FCE" w:rsidTr="00F64E7A">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13</w:t>
            </w:r>
          </w:p>
        </w:tc>
        <w:tc>
          <w:tcPr>
            <w:tcW w:w="5136"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rPr>
                <w:rFonts w:ascii="Arial" w:hAnsi="Arial" w:cs="Arial"/>
                <w:color w:val="000000"/>
                <w:sz w:val="20"/>
                <w:szCs w:val="20"/>
              </w:rPr>
            </w:pPr>
            <w:r w:rsidRPr="003B1FCE">
              <w:rPr>
                <w:rFonts w:ascii="Arial" w:hAnsi="Arial" w:cs="Arial"/>
                <w:color w:val="000000"/>
                <w:sz w:val="20"/>
                <w:szCs w:val="20"/>
              </w:rPr>
              <w:t>Delegación Miguel Hidalgo</w:t>
            </w:r>
          </w:p>
        </w:tc>
        <w:tc>
          <w:tcPr>
            <w:tcW w:w="112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72.87</w:t>
            </w:r>
          </w:p>
        </w:tc>
        <w:tc>
          <w:tcPr>
            <w:tcW w:w="126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94.82</w:t>
            </w:r>
          </w:p>
        </w:tc>
        <w:tc>
          <w:tcPr>
            <w:tcW w:w="875"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83.85</w:t>
            </w:r>
          </w:p>
        </w:tc>
      </w:tr>
      <w:tr w:rsidR="00F64E7A" w:rsidRPr="003B1FCE" w:rsidTr="00F64E7A">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14</w:t>
            </w:r>
          </w:p>
        </w:tc>
        <w:tc>
          <w:tcPr>
            <w:tcW w:w="5136"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rPr>
                <w:rFonts w:ascii="Arial" w:hAnsi="Arial" w:cs="Arial"/>
                <w:color w:val="000000"/>
                <w:sz w:val="20"/>
                <w:szCs w:val="20"/>
              </w:rPr>
            </w:pPr>
            <w:r w:rsidRPr="003B1FCE">
              <w:rPr>
                <w:rFonts w:ascii="Arial" w:hAnsi="Arial" w:cs="Arial"/>
                <w:color w:val="000000"/>
                <w:sz w:val="20"/>
                <w:szCs w:val="20"/>
              </w:rPr>
              <w:t>Delegación Coyoacán</w:t>
            </w:r>
          </w:p>
        </w:tc>
        <w:tc>
          <w:tcPr>
            <w:tcW w:w="112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76.13</w:t>
            </w:r>
          </w:p>
        </w:tc>
        <w:tc>
          <w:tcPr>
            <w:tcW w:w="126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86.02</w:t>
            </w:r>
          </w:p>
        </w:tc>
        <w:tc>
          <w:tcPr>
            <w:tcW w:w="875"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81.07</w:t>
            </w:r>
          </w:p>
        </w:tc>
      </w:tr>
      <w:tr w:rsidR="00F64E7A" w:rsidRPr="003B1FCE" w:rsidTr="00F64E7A">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15</w:t>
            </w:r>
          </w:p>
        </w:tc>
        <w:tc>
          <w:tcPr>
            <w:tcW w:w="5136"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rPr>
                <w:rFonts w:ascii="Arial" w:hAnsi="Arial" w:cs="Arial"/>
                <w:color w:val="000000"/>
                <w:sz w:val="20"/>
                <w:szCs w:val="20"/>
              </w:rPr>
            </w:pPr>
            <w:r w:rsidRPr="003B1FCE">
              <w:rPr>
                <w:rFonts w:ascii="Arial" w:hAnsi="Arial" w:cs="Arial"/>
                <w:color w:val="000000"/>
                <w:sz w:val="20"/>
                <w:szCs w:val="20"/>
              </w:rPr>
              <w:t>Delegación Iztacalco</w:t>
            </w:r>
          </w:p>
        </w:tc>
        <w:tc>
          <w:tcPr>
            <w:tcW w:w="112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76.89</w:t>
            </w:r>
          </w:p>
        </w:tc>
        <w:tc>
          <w:tcPr>
            <w:tcW w:w="126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79.91</w:t>
            </w:r>
          </w:p>
        </w:tc>
        <w:tc>
          <w:tcPr>
            <w:tcW w:w="875"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78.40</w:t>
            </w:r>
          </w:p>
        </w:tc>
      </w:tr>
      <w:tr w:rsidR="00F64E7A" w:rsidRPr="003B1FCE" w:rsidTr="00F64E7A">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16</w:t>
            </w:r>
          </w:p>
        </w:tc>
        <w:tc>
          <w:tcPr>
            <w:tcW w:w="5136"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rPr>
                <w:rFonts w:ascii="Arial" w:hAnsi="Arial" w:cs="Arial"/>
                <w:color w:val="000000"/>
                <w:sz w:val="20"/>
                <w:szCs w:val="20"/>
              </w:rPr>
            </w:pPr>
            <w:r w:rsidRPr="003B1FCE">
              <w:rPr>
                <w:rFonts w:ascii="Arial" w:hAnsi="Arial" w:cs="Arial"/>
                <w:color w:val="000000"/>
                <w:sz w:val="20"/>
                <w:szCs w:val="20"/>
              </w:rPr>
              <w:t>Delegación Xochimilco</w:t>
            </w:r>
          </w:p>
        </w:tc>
        <w:tc>
          <w:tcPr>
            <w:tcW w:w="112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40.23</w:t>
            </w:r>
          </w:p>
        </w:tc>
        <w:tc>
          <w:tcPr>
            <w:tcW w:w="1263"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84.56</w:t>
            </w:r>
          </w:p>
        </w:tc>
        <w:tc>
          <w:tcPr>
            <w:tcW w:w="875" w:type="dxa"/>
            <w:tcBorders>
              <w:top w:val="nil"/>
              <w:left w:val="nil"/>
              <w:bottom w:val="single" w:sz="4" w:space="0" w:color="auto"/>
              <w:right w:val="single" w:sz="4" w:space="0" w:color="auto"/>
            </w:tcBorders>
            <w:shd w:val="clear" w:color="auto" w:fill="auto"/>
            <w:vAlign w:val="center"/>
            <w:hideMark/>
          </w:tcPr>
          <w:p w:rsidR="00F64E7A" w:rsidRPr="003B1FCE" w:rsidRDefault="00F64E7A" w:rsidP="00F64E7A">
            <w:pPr>
              <w:jc w:val="center"/>
              <w:rPr>
                <w:rFonts w:ascii="Arial" w:hAnsi="Arial" w:cs="Arial"/>
                <w:color w:val="000000"/>
                <w:sz w:val="20"/>
                <w:szCs w:val="20"/>
              </w:rPr>
            </w:pPr>
            <w:r w:rsidRPr="003B1FCE">
              <w:rPr>
                <w:rFonts w:ascii="Arial" w:hAnsi="Arial" w:cs="Arial"/>
                <w:color w:val="000000"/>
                <w:sz w:val="20"/>
                <w:szCs w:val="20"/>
              </w:rPr>
              <w:t>62.39</w:t>
            </w:r>
          </w:p>
        </w:tc>
      </w:tr>
    </w:tbl>
    <w:p w:rsidR="00F64E7A" w:rsidRPr="003B1FCE" w:rsidRDefault="00F64E7A" w:rsidP="00F64E7A">
      <w:pPr>
        <w:spacing w:before="100" w:beforeAutospacing="1" w:after="100" w:afterAutospacing="1" w:line="360" w:lineRule="auto"/>
        <w:contextualSpacing/>
        <w:jc w:val="both"/>
        <w:rPr>
          <w:rFonts w:ascii="Arial" w:hAnsi="Arial" w:cs="Arial"/>
          <w:sz w:val="16"/>
          <w:szCs w:val="16"/>
        </w:rPr>
      </w:pPr>
      <w:r w:rsidRPr="003B1FCE">
        <w:rPr>
          <w:rFonts w:ascii="Arial" w:hAnsi="Arial" w:cs="Arial"/>
          <w:b/>
          <w:sz w:val="16"/>
          <w:szCs w:val="16"/>
        </w:rPr>
        <w:t>Nota metodológica</w:t>
      </w:r>
      <w:r w:rsidRPr="003B1FCE">
        <w:rPr>
          <w:rFonts w:ascii="Arial" w:hAnsi="Arial" w:cs="Arial"/>
          <w:sz w:val="16"/>
          <w:szCs w:val="16"/>
        </w:rPr>
        <w:t xml:space="preserve">: </w:t>
      </w:r>
    </w:p>
    <w:p w:rsidR="00F64E7A" w:rsidRPr="003B1FCE" w:rsidRDefault="00F64E7A" w:rsidP="00F64E7A">
      <w:pPr>
        <w:spacing w:before="100" w:beforeAutospacing="1" w:after="100" w:afterAutospacing="1" w:line="360" w:lineRule="auto"/>
        <w:contextualSpacing/>
        <w:jc w:val="both"/>
        <w:rPr>
          <w:rFonts w:ascii="Arial" w:hAnsi="Arial" w:cs="Arial"/>
          <w:sz w:val="16"/>
          <w:szCs w:val="16"/>
        </w:rPr>
      </w:pPr>
      <w:r w:rsidRPr="003B1FCE">
        <w:rPr>
          <w:rFonts w:ascii="Arial" w:hAnsi="Arial" w:cs="Arial"/>
          <w:sz w:val="16"/>
          <w:szCs w:val="16"/>
        </w:rPr>
        <w:t>El IGOT se compone del promedio de ICOT-PI e ICOT-PNT.</w:t>
      </w:r>
    </w:p>
    <w:p w:rsidR="00F64E7A" w:rsidRPr="003B1FCE" w:rsidRDefault="00F64E7A" w:rsidP="00F64E7A">
      <w:pPr>
        <w:spacing w:before="100" w:beforeAutospacing="1" w:after="100" w:afterAutospacing="1" w:line="360" w:lineRule="auto"/>
        <w:contextualSpacing/>
        <w:jc w:val="both"/>
        <w:rPr>
          <w:rFonts w:ascii="Arial" w:hAnsi="Arial" w:cs="Arial"/>
          <w:color w:val="000000"/>
          <w:sz w:val="16"/>
          <w:szCs w:val="16"/>
        </w:rPr>
      </w:pPr>
      <w:r w:rsidRPr="003B1FCE">
        <w:rPr>
          <w:rFonts w:ascii="Arial" w:hAnsi="Arial" w:cs="Arial"/>
          <w:b/>
          <w:bCs/>
          <w:color w:val="000000"/>
          <w:sz w:val="16"/>
          <w:szCs w:val="16"/>
        </w:rPr>
        <w:t>%</w:t>
      </w:r>
      <w:proofErr w:type="spellStart"/>
      <w:r w:rsidRPr="003B1FCE">
        <w:rPr>
          <w:rFonts w:ascii="Arial" w:hAnsi="Arial" w:cs="Arial"/>
          <w:b/>
          <w:bCs/>
          <w:color w:val="000000"/>
          <w:sz w:val="16"/>
          <w:szCs w:val="16"/>
        </w:rPr>
        <w:t>Inf</w:t>
      </w:r>
      <w:proofErr w:type="spellEnd"/>
      <w:r w:rsidRPr="003B1FCE">
        <w:rPr>
          <w:rFonts w:ascii="Arial" w:hAnsi="Arial" w:cs="Arial"/>
          <w:b/>
          <w:bCs/>
          <w:color w:val="000000"/>
          <w:sz w:val="16"/>
          <w:szCs w:val="16"/>
        </w:rPr>
        <w:t xml:space="preserve"> PI:</w:t>
      </w:r>
      <w:r w:rsidRPr="003B1FCE">
        <w:rPr>
          <w:rFonts w:ascii="Arial" w:hAnsi="Arial" w:cs="Arial"/>
          <w:color w:val="000000"/>
          <w:sz w:val="16"/>
          <w:szCs w:val="16"/>
        </w:rPr>
        <w:t xml:space="preserve"> corresponde al porcentaje del índice que hace referencia a la información que se encuentra publicada y actualizada en el Portal de Internet (PI) del sujeto obligado. </w:t>
      </w:r>
    </w:p>
    <w:p w:rsidR="00F64E7A" w:rsidRPr="003B1FCE" w:rsidRDefault="00F64E7A" w:rsidP="00F64E7A">
      <w:pPr>
        <w:spacing w:before="100" w:beforeAutospacing="1" w:after="100" w:afterAutospacing="1" w:line="360" w:lineRule="auto"/>
        <w:contextualSpacing/>
        <w:jc w:val="both"/>
        <w:rPr>
          <w:rFonts w:ascii="Arial" w:hAnsi="Arial" w:cs="Arial"/>
          <w:color w:val="000000"/>
          <w:sz w:val="16"/>
          <w:szCs w:val="16"/>
        </w:rPr>
      </w:pPr>
      <w:r w:rsidRPr="003B1FCE">
        <w:rPr>
          <w:rFonts w:ascii="Arial" w:hAnsi="Arial" w:cs="Arial"/>
          <w:b/>
          <w:bCs/>
          <w:color w:val="000000"/>
          <w:sz w:val="16"/>
          <w:szCs w:val="16"/>
        </w:rPr>
        <w:t>%</w:t>
      </w:r>
      <w:proofErr w:type="spellStart"/>
      <w:r w:rsidRPr="003B1FCE">
        <w:rPr>
          <w:rFonts w:ascii="Arial" w:hAnsi="Arial" w:cs="Arial"/>
          <w:b/>
          <w:bCs/>
          <w:color w:val="000000"/>
          <w:sz w:val="16"/>
          <w:szCs w:val="16"/>
        </w:rPr>
        <w:t>Inf</w:t>
      </w:r>
      <w:proofErr w:type="spellEnd"/>
      <w:r w:rsidRPr="003B1FCE">
        <w:rPr>
          <w:rFonts w:ascii="Arial" w:hAnsi="Arial" w:cs="Arial"/>
          <w:b/>
          <w:bCs/>
          <w:color w:val="000000"/>
          <w:sz w:val="16"/>
          <w:szCs w:val="16"/>
        </w:rPr>
        <w:t xml:space="preserve"> PNT:</w:t>
      </w:r>
      <w:r w:rsidRPr="003B1FCE">
        <w:rPr>
          <w:rFonts w:ascii="Arial" w:hAnsi="Arial" w:cs="Arial"/>
          <w:color w:val="000000"/>
          <w:sz w:val="16"/>
          <w:szCs w:val="16"/>
        </w:rPr>
        <w:t xml:space="preserve"> corresponde al porcentaje del índice que hace referencia a la información que se encuentra publicada y actualizada en la Plataforma Nacional de Transparencia (PNT) del sujeto obligado.</w:t>
      </w:r>
    </w:p>
    <w:p w:rsidR="00F64E7A" w:rsidRPr="003B1FCE" w:rsidRDefault="00F64E7A" w:rsidP="00F64E7A">
      <w:pPr>
        <w:spacing w:before="100" w:beforeAutospacing="1" w:after="100" w:afterAutospacing="1" w:line="360" w:lineRule="auto"/>
        <w:contextualSpacing/>
        <w:jc w:val="both"/>
        <w:rPr>
          <w:rFonts w:ascii="Arial" w:hAnsi="Arial" w:cs="Arial"/>
          <w:color w:val="000000"/>
          <w:sz w:val="16"/>
          <w:szCs w:val="16"/>
        </w:rPr>
      </w:pPr>
      <w:r w:rsidRPr="003B1FCE">
        <w:rPr>
          <w:rFonts w:ascii="Arial" w:hAnsi="Arial" w:cs="Arial"/>
          <w:b/>
          <w:bCs/>
          <w:color w:val="000000"/>
          <w:sz w:val="16"/>
          <w:szCs w:val="16"/>
        </w:rPr>
        <w:t>%</w:t>
      </w:r>
      <w:proofErr w:type="spellStart"/>
      <w:r w:rsidRPr="003B1FCE">
        <w:rPr>
          <w:rFonts w:ascii="Arial" w:hAnsi="Arial" w:cs="Arial"/>
          <w:b/>
          <w:bCs/>
          <w:color w:val="000000"/>
          <w:sz w:val="16"/>
          <w:szCs w:val="16"/>
        </w:rPr>
        <w:t>Inf</w:t>
      </w:r>
      <w:proofErr w:type="spellEnd"/>
      <w:r w:rsidRPr="003B1FCE">
        <w:rPr>
          <w:rFonts w:ascii="Arial" w:hAnsi="Arial" w:cs="Arial"/>
          <w:b/>
          <w:bCs/>
          <w:color w:val="000000"/>
          <w:sz w:val="16"/>
          <w:szCs w:val="16"/>
        </w:rPr>
        <w:t xml:space="preserve"> IGOT: </w:t>
      </w:r>
      <w:r w:rsidRPr="003B1FCE">
        <w:rPr>
          <w:rFonts w:ascii="Arial" w:hAnsi="Arial" w:cs="Arial"/>
          <w:color w:val="000000"/>
          <w:sz w:val="16"/>
          <w:szCs w:val="16"/>
        </w:rPr>
        <w:t>corresponde al porcentaje del índice que hace referencia a la información que se encuentra publicada y actualizada tanto en la PNT y el PI del sujeto obligado.</w:t>
      </w:r>
    </w:p>
    <w:p w:rsidR="00F64E7A" w:rsidRPr="003B1FCE" w:rsidRDefault="00F64E7A" w:rsidP="00F64E7A">
      <w:pPr>
        <w:spacing w:before="100" w:beforeAutospacing="1" w:after="100" w:afterAutospacing="1" w:line="360" w:lineRule="auto"/>
        <w:contextualSpacing/>
        <w:jc w:val="both"/>
        <w:rPr>
          <w:rFonts w:ascii="Arial" w:hAnsi="Arial" w:cs="Arial"/>
          <w:color w:val="000000"/>
        </w:rPr>
      </w:pPr>
    </w:p>
    <w:p w:rsidR="00F64E7A" w:rsidRPr="003B1FCE" w:rsidRDefault="00F64E7A" w:rsidP="00F64E7A">
      <w:pPr>
        <w:spacing w:before="100" w:beforeAutospacing="1" w:after="100" w:afterAutospacing="1" w:line="360" w:lineRule="auto"/>
        <w:contextualSpacing/>
        <w:jc w:val="both"/>
        <w:rPr>
          <w:rFonts w:ascii="Arial" w:hAnsi="Arial" w:cs="Arial"/>
        </w:rPr>
      </w:pPr>
      <w:r w:rsidRPr="003B1FCE">
        <w:rPr>
          <w:rFonts w:ascii="Arial" w:hAnsi="Arial" w:cs="Arial"/>
        </w:rPr>
        <w:t xml:space="preserve">En atención a la Tabla de Aplicabilidad realizada por la DEAEE del Instituto, las obligaciones que el Poder Ejecutivo – Demarcaciones Territoriales debe actualizar </w:t>
      </w:r>
      <w:r w:rsidRPr="003B1FCE">
        <w:rPr>
          <w:rFonts w:ascii="Arial" w:hAnsi="Arial" w:cs="Arial"/>
        </w:rPr>
        <w:lastRenderedPageBreak/>
        <w:t xml:space="preserve">y publicar en el SIPOT de la PNT, así como en sus respectivos portales de internet son las contempladas en los siguientes artículos: </w:t>
      </w:r>
    </w:p>
    <w:p w:rsidR="00F64E7A" w:rsidRPr="003B1FCE" w:rsidRDefault="00F64E7A" w:rsidP="00FF7BD9">
      <w:pPr>
        <w:pStyle w:val="Prrafodelista"/>
        <w:numPr>
          <w:ilvl w:val="0"/>
          <w:numId w:val="13"/>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Artículo 121. Obligaciones comunes,</w:t>
      </w:r>
    </w:p>
    <w:p w:rsidR="00F64E7A" w:rsidRPr="003B1FCE" w:rsidRDefault="00F64E7A" w:rsidP="00FF7BD9">
      <w:pPr>
        <w:pStyle w:val="Prrafodelista"/>
        <w:numPr>
          <w:ilvl w:val="0"/>
          <w:numId w:val="13"/>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Artículo 122. Obligaciones comunes,</w:t>
      </w:r>
    </w:p>
    <w:p w:rsidR="00F64E7A" w:rsidRPr="003B1FCE" w:rsidRDefault="00F64E7A" w:rsidP="00FF7BD9">
      <w:pPr>
        <w:pStyle w:val="Prrafodelista"/>
        <w:numPr>
          <w:ilvl w:val="0"/>
          <w:numId w:val="13"/>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Artículo 124. Obligaciones Específicas de los Órganos Políticos Administrativos, Alcaidías o Demarcaciones Territoriales,</w:t>
      </w:r>
    </w:p>
    <w:p w:rsidR="00F64E7A" w:rsidRPr="003B1FCE" w:rsidRDefault="00F64E7A" w:rsidP="00FF7BD9">
      <w:pPr>
        <w:pStyle w:val="Prrafodelista"/>
        <w:numPr>
          <w:ilvl w:val="0"/>
          <w:numId w:val="13"/>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Artículo 143. Disposiciones Particulares,</w:t>
      </w:r>
    </w:p>
    <w:p w:rsidR="00F64E7A" w:rsidRPr="003B1FCE" w:rsidRDefault="00F64E7A" w:rsidP="00FF7BD9">
      <w:pPr>
        <w:pStyle w:val="Prrafodelista"/>
        <w:numPr>
          <w:ilvl w:val="0"/>
          <w:numId w:val="13"/>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145. Disposiciones Particulares, </w:t>
      </w:r>
    </w:p>
    <w:p w:rsidR="00F64E7A" w:rsidRPr="003B1FCE" w:rsidRDefault="00F64E7A" w:rsidP="00FF7BD9">
      <w:pPr>
        <w:pStyle w:val="Prrafodelista"/>
        <w:numPr>
          <w:ilvl w:val="0"/>
          <w:numId w:val="13"/>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146. Disposiciones Particulares, </w:t>
      </w:r>
    </w:p>
    <w:p w:rsidR="00F64E7A" w:rsidRPr="003B1FCE" w:rsidRDefault="00F64E7A" w:rsidP="00FF7BD9">
      <w:pPr>
        <w:pStyle w:val="Prrafodelista"/>
        <w:numPr>
          <w:ilvl w:val="0"/>
          <w:numId w:val="13"/>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147. Disposiciones Particulares. </w:t>
      </w:r>
    </w:p>
    <w:p w:rsidR="00F64E7A" w:rsidRPr="003B1FCE" w:rsidRDefault="00F64E7A" w:rsidP="00FF7BD9">
      <w:pPr>
        <w:pStyle w:val="Ttulo2"/>
        <w:contextualSpacing/>
        <w:jc w:val="both"/>
        <w:rPr>
          <w:rFonts w:ascii="Arial" w:hAnsi="Arial" w:cs="Arial"/>
          <w:b/>
          <w:color w:val="auto"/>
          <w:sz w:val="24"/>
          <w:szCs w:val="24"/>
        </w:rPr>
      </w:pPr>
      <w:bookmarkStart w:id="18" w:name="_Toc26913257"/>
      <w:r w:rsidRPr="003B1FCE">
        <w:rPr>
          <w:rFonts w:ascii="Arial" w:hAnsi="Arial" w:cs="Arial"/>
          <w:b/>
          <w:color w:val="auto"/>
          <w:sz w:val="24"/>
          <w:szCs w:val="24"/>
        </w:rPr>
        <w:t>Análisis global de cumplimiento del Poder Ejecutivo – Demarcaciones Territoriales</w:t>
      </w:r>
      <w:bookmarkEnd w:id="18"/>
    </w:p>
    <w:p w:rsidR="00F64E7A" w:rsidRPr="003B1FCE" w:rsidRDefault="00F64E7A" w:rsidP="00F64E7A">
      <w:pPr>
        <w:rPr>
          <w:rFonts w:ascii="Arial" w:hAnsi="Arial" w:cs="Arial"/>
        </w:rPr>
      </w:pPr>
    </w:p>
    <w:p w:rsidR="00F64E7A" w:rsidRPr="003B1FCE" w:rsidRDefault="00F64E7A" w:rsidP="00F64E7A">
      <w:pPr>
        <w:spacing w:before="100" w:beforeAutospacing="1" w:after="100" w:afterAutospacing="1" w:line="360" w:lineRule="auto"/>
        <w:contextualSpacing/>
        <w:jc w:val="both"/>
        <w:rPr>
          <w:rFonts w:ascii="Arial" w:hAnsi="Arial" w:cs="Arial"/>
          <w:u w:val="single"/>
        </w:rPr>
      </w:pPr>
      <w:r w:rsidRPr="003B1FCE">
        <w:rPr>
          <w:rFonts w:ascii="Arial" w:hAnsi="Arial" w:cs="Arial"/>
          <w:u w:val="single"/>
        </w:rPr>
        <w:t>Índices Globales de Cumplimiento de las obligaciones de transparencia</w:t>
      </w:r>
    </w:p>
    <w:p w:rsidR="00F64E7A" w:rsidRPr="003B1FCE" w:rsidRDefault="00F64E7A" w:rsidP="00F64E7A">
      <w:pPr>
        <w:spacing w:before="100" w:beforeAutospacing="1" w:after="100" w:afterAutospacing="1" w:line="360" w:lineRule="auto"/>
        <w:contextualSpacing/>
        <w:jc w:val="both"/>
        <w:rPr>
          <w:rFonts w:ascii="Arial" w:hAnsi="Arial" w:cs="Arial"/>
        </w:rPr>
      </w:pPr>
    </w:p>
    <w:p w:rsidR="00F64E7A" w:rsidRPr="003B1FCE" w:rsidRDefault="00F64E7A" w:rsidP="00F64E7A">
      <w:pPr>
        <w:spacing w:before="100" w:beforeAutospacing="1" w:after="100" w:afterAutospacing="1" w:line="360" w:lineRule="auto"/>
        <w:contextualSpacing/>
        <w:jc w:val="both"/>
        <w:rPr>
          <w:rFonts w:ascii="Arial" w:hAnsi="Arial" w:cs="Arial"/>
        </w:rPr>
      </w:pPr>
      <w:r w:rsidRPr="003B1FCE">
        <w:rPr>
          <w:rFonts w:ascii="Arial" w:hAnsi="Arial" w:cs="Arial"/>
        </w:rPr>
        <w:t xml:space="preserve">El ámbito del Poder Ejecutivo – Demarcaciones Territoriales (Demarcaciones) obtuvo un IGOT de 90.80%, el cual está compuesto por un índice de </w:t>
      </w:r>
      <w:r w:rsidR="00130AF5" w:rsidRPr="003B1FCE">
        <w:rPr>
          <w:rFonts w:ascii="Arial" w:hAnsi="Arial" w:cs="Arial"/>
        </w:rPr>
        <w:t>93.31</w:t>
      </w:r>
      <w:r w:rsidRPr="003B1FCE">
        <w:rPr>
          <w:rFonts w:ascii="Arial" w:hAnsi="Arial" w:cs="Arial"/>
        </w:rPr>
        <w:t xml:space="preserve">% en lo que corresponde a la Plataforma Nacional de Transparencia (PNT) y un índice de </w:t>
      </w:r>
      <w:r w:rsidR="00130AF5" w:rsidRPr="003B1FCE">
        <w:rPr>
          <w:rFonts w:ascii="Arial" w:hAnsi="Arial" w:cs="Arial"/>
        </w:rPr>
        <w:t>88.28</w:t>
      </w:r>
      <w:r w:rsidRPr="003B1FCE">
        <w:rPr>
          <w:rFonts w:ascii="Arial" w:hAnsi="Arial" w:cs="Arial"/>
        </w:rPr>
        <w:t>% en lo que se refiere al Portal de Transparencia (PI).</w:t>
      </w:r>
    </w:p>
    <w:p w:rsidR="00F64E7A" w:rsidRPr="003B1FCE" w:rsidRDefault="00F64E7A" w:rsidP="00F64E7A">
      <w:pPr>
        <w:spacing w:before="100" w:beforeAutospacing="1" w:after="100" w:afterAutospacing="1" w:line="360" w:lineRule="auto"/>
        <w:contextualSpacing/>
        <w:jc w:val="both"/>
        <w:rPr>
          <w:rFonts w:ascii="Arial" w:hAnsi="Arial" w:cs="Arial"/>
        </w:rPr>
      </w:pPr>
    </w:p>
    <w:p w:rsidR="00F64E7A" w:rsidRPr="003B1FCE" w:rsidRDefault="00130AF5" w:rsidP="00F64E7A">
      <w:pPr>
        <w:spacing w:before="100" w:beforeAutospacing="1" w:after="100" w:afterAutospacing="1" w:line="360" w:lineRule="auto"/>
        <w:contextualSpacing/>
        <w:jc w:val="both"/>
        <w:rPr>
          <w:rFonts w:ascii="Arial" w:hAnsi="Arial" w:cs="Arial"/>
        </w:rPr>
      </w:pPr>
      <w:r w:rsidRPr="003B1FCE">
        <w:rPr>
          <w:rFonts w:ascii="Arial" w:hAnsi="Arial" w:cs="Arial"/>
        </w:rPr>
        <w:t xml:space="preserve">Todos los </w:t>
      </w:r>
      <w:r w:rsidR="00F64E7A" w:rsidRPr="003B1FCE">
        <w:rPr>
          <w:rFonts w:ascii="Arial" w:hAnsi="Arial" w:cs="Arial"/>
        </w:rPr>
        <w:t xml:space="preserve">sujetos que integran este ámbito atendieron las recomendaciones y observaciones emitidas en la Primera Evaluación Vinculante 2019; no obstante, únicamente </w:t>
      </w:r>
      <w:r w:rsidRPr="003B1FCE">
        <w:rPr>
          <w:rFonts w:ascii="Arial" w:hAnsi="Arial" w:cs="Arial"/>
        </w:rPr>
        <w:t xml:space="preserve">tres subsanaron a cabalidad las recomendaciones, logrando un cumplimiento total de las obligaciones de transparencia. 13 </w:t>
      </w:r>
      <w:proofErr w:type="gramStart"/>
      <w:r w:rsidRPr="003B1FCE">
        <w:rPr>
          <w:rFonts w:ascii="Arial" w:hAnsi="Arial" w:cs="Arial"/>
        </w:rPr>
        <w:t>Demarcaciones</w:t>
      </w:r>
      <w:proofErr w:type="gramEnd"/>
      <w:r w:rsidRPr="003B1FCE">
        <w:rPr>
          <w:rFonts w:ascii="Arial" w:hAnsi="Arial" w:cs="Arial"/>
        </w:rPr>
        <w:t xml:space="preserve"> aún presentan áreas de oportunidad en la publicación y actualización de la información. De las 13 Demarcaciones, siete tiene</w:t>
      </w:r>
      <w:r w:rsidR="00D23BCA" w:rsidRPr="003B1FCE">
        <w:rPr>
          <w:rFonts w:ascii="Arial" w:hAnsi="Arial" w:cs="Arial"/>
        </w:rPr>
        <w:t>n</w:t>
      </w:r>
      <w:r w:rsidRPr="003B1FCE">
        <w:rPr>
          <w:rFonts w:ascii="Arial" w:hAnsi="Arial" w:cs="Arial"/>
        </w:rPr>
        <w:t xml:space="preserve"> un IGOT superior al 90% e inferior al 100%, cuatro presentan un IGOT entre 80% y 90%, y dos sujetos un IGOT entre 60% y 80%. </w:t>
      </w:r>
    </w:p>
    <w:p w:rsidR="00F64E7A" w:rsidRPr="003B1FCE" w:rsidRDefault="00F64E7A" w:rsidP="00F64E7A">
      <w:pPr>
        <w:spacing w:before="100" w:beforeAutospacing="1" w:after="100" w:afterAutospacing="1" w:line="360" w:lineRule="auto"/>
        <w:contextualSpacing/>
        <w:jc w:val="both"/>
        <w:rPr>
          <w:rFonts w:ascii="Arial" w:hAnsi="Arial" w:cs="Arial"/>
        </w:rPr>
      </w:pPr>
    </w:p>
    <w:p w:rsidR="00F64E7A" w:rsidRPr="003B1FCE" w:rsidRDefault="00F64E7A" w:rsidP="00F64E7A">
      <w:pPr>
        <w:spacing w:before="100" w:beforeAutospacing="1" w:after="100" w:afterAutospacing="1" w:line="360" w:lineRule="auto"/>
        <w:contextualSpacing/>
        <w:jc w:val="both"/>
        <w:rPr>
          <w:rFonts w:ascii="Arial" w:hAnsi="Arial" w:cs="Arial"/>
        </w:rPr>
      </w:pPr>
      <w:r w:rsidRPr="003B1FCE">
        <w:rPr>
          <w:rFonts w:ascii="Arial" w:hAnsi="Arial" w:cs="Arial"/>
        </w:rPr>
        <w:lastRenderedPageBreak/>
        <w:t xml:space="preserve">Con relación a la Primera Evaluación Vinculante 2019, este ámbito tuvo un incremento sustantivo, puesto que pasó de tener un IGOT de </w:t>
      </w:r>
      <w:r w:rsidR="00130AF5" w:rsidRPr="003B1FCE">
        <w:rPr>
          <w:rFonts w:ascii="Arial" w:hAnsi="Arial" w:cs="Arial"/>
        </w:rPr>
        <w:t>60.03</w:t>
      </w:r>
      <w:r w:rsidRPr="003B1FCE">
        <w:rPr>
          <w:rFonts w:ascii="Arial" w:hAnsi="Arial" w:cs="Arial"/>
        </w:rPr>
        <w:t xml:space="preserve">% a uno de </w:t>
      </w:r>
      <w:r w:rsidR="00130AF5" w:rsidRPr="003B1FCE">
        <w:rPr>
          <w:rFonts w:ascii="Arial" w:hAnsi="Arial" w:cs="Arial"/>
        </w:rPr>
        <w:t>90.80</w:t>
      </w:r>
      <w:r w:rsidRPr="003B1FCE">
        <w:rPr>
          <w:rFonts w:ascii="Arial" w:hAnsi="Arial" w:cs="Arial"/>
        </w:rPr>
        <w:t xml:space="preserve">%; </w:t>
      </w:r>
      <w:r w:rsidR="00130AF5" w:rsidRPr="003B1FCE">
        <w:rPr>
          <w:rFonts w:ascii="Arial" w:hAnsi="Arial" w:cs="Arial"/>
        </w:rPr>
        <w:t xml:space="preserve">manteniéndose con un cumplimiento parcial </w:t>
      </w:r>
      <w:r w:rsidRPr="003B1FCE">
        <w:rPr>
          <w:rFonts w:ascii="Arial" w:hAnsi="Arial" w:cs="Arial"/>
        </w:rPr>
        <w:t xml:space="preserve">de las obligaciones de transparencia de la Ley de Transparencia Local. Este ámbito tuvo un incremento de </w:t>
      </w:r>
      <w:r w:rsidR="00130AF5" w:rsidRPr="003B1FCE">
        <w:rPr>
          <w:rFonts w:ascii="Arial" w:hAnsi="Arial" w:cs="Arial"/>
        </w:rPr>
        <w:t>30.77</w:t>
      </w:r>
      <w:r w:rsidRPr="003B1FCE">
        <w:rPr>
          <w:rFonts w:ascii="Arial" w:hAnsi="Arial" w:cs="Arial"/>
        </w:rPr>
        <w:t xml:space="preserve">% dentro de su índice. </w:t>
      </w:r>
    </w:p>
    <w:p w:rsidR="00F64E7A" w:rsidRPr="003B1FCE" w:rsidRDefault="00F64E7A" w:rsidP="00F64E7A">
      <w:pPr>
        <w:spacing w:before="100" w:beforeAutospacing="1" w:after="100" w:afterAutospacing="1" w:line="360" w:lineRule="auto"/>
        <w:contextualSpacing/>
        <w:jc w:val="both"/>
        <w:rPr>
          <w:rFonts w:ascii="Arial" w:hAnsi="Arial" w:cs="Arial"/>
        </w:rPr>
      </w:pPr>
    </w:p>
    <w:p w:rsidR="00F64E7A" w:rsidRPr="003B1FCE" w:rsidRDefault="00F64E7A" w:rsidP="00F64E7A">
      <w:pPr>
        <w:spacing w:before="100" w:beforeAutospacing="1" w:after="100" w:afterAutospacing="1" w:line="360" w:lineRule="auto"/>
        <w:contextualSpacing/>
        <w:jc w:val="both"/>
        <w:rPr>
          <w:rFonts w:ascii="Arial" w:hAnsi="Arial" w:cs="Arial"/>
          <w:u w:val="single"/>
        </w:rPr>
      </w:pPr>
      <w:r w:rsidRPr="003B1FCE">
        <w:rPr>
          <w:rFonts w:ascii="Arial" w:hAnsi="Arial" w:cs="Arial"/>
          <w:u w:val="single"/>
        </w:rPr>
        <w:t xml:space="preserve">Cumplimiento diferenciado por artículos </w:t>
      </w:r>
    </w:p>
    <w:p w:rsidR="00F64E7A" w:rsidRPr="003B1FCE" w:rsidRDefault="00F64E7A" w:rsidP="00F64E7A">
      <w:pPr>
        <w:spacing w:before="100" w:beforeAutospacing="1" w:after="100" w:afterAutospacing="1" w:line="360" w:lineRule="auto"/>
        <w:contextualSpacing/>
        <w:jc w:val="both"/>
        <w:rPr>
          <w:rFonts w:ascii="Arial" w:hAnsi="Arial" w:cs="Arial"/>
          <w:u w:val="single"/>
        </w:rPr>
      </w:pPr>
    </w:p>
    <w:p w:rsidR="00F64E7A" w:rsidRPr="003B1FCE" w:rsidRDefault="00F64E7A" w:rsidP="00F64E7A">
      <w:pPr>
        <w:spacing w:before="100" w:beforeAutospacing="1" w:after="100" w:afterAutospacing="1" w:line="360" w:lineRule="auto"/>
        <w:contextualSpacing/>
        <w:jc w:val="both"/>
        <w:rPr>
          <w:rFonts w:ascii="Arial" w:hAnsi="Arial" w:cs="Arial"/>
        </w:rPr>
      </w:pPr>
      <w:r w:rsidRPr="003B1FCE">
        <w:rPr>
          <w:rFonts w:ascii="Arial" w:hAnsi="Arial" w:cs="Arial"/>
        </w:rPr>
        <w:t>Con relación al tipo de obligaciones de transparencia, este ámbito ha cumplido parcialmente con sus obligaciones comunes, específicas y disposiciones particulares, obteniendo un ICP de</w:t>
      </w:r>
      <w:r w:rsidR="00501317" w:rsidRPr="003B1FCE">
        <w:rPr>
          <w:rFonts w:ascii="Arial" w:hAnsi="Arial" w:cs="Arial"/>
        </w:rPr>
        <w:t xml:space="preserve"> 90.29</w:t>
      </w:r>
      <w:r w:rsidRPr="003B1FCE">
        <w:rPr>
          <w:rFonts w:ascii="Arial" w:hAnsi="Arial" w:cs="Arial"/>
        </w:rPr>
        <w:t>%,</w:t>
      </w:r>
      <w:r w:rsidR="00501317" w:rsidRPr="003B1FCE">
        <w:rPr>
          <w:rFonts w:ascii="Arial" w:hAnsi="Arial" w:cs="Arial"/>
        </w:rPr>
        <w:t xml:space="preserve"> 88.72</w:t>
      </w:r>
      <w:r w:rsidRPr="003B1FCE">
        <w:rPr>
          <w:rFonts w:ascii="Arial" w:hAnsi="Arial" w:cs="Arial"/>
        </w:rPr>
        <w:t>% y 9</w:t>
      </w:r>
      <w:r w:rsidR="00501317" w:rsidRPr="003B1FCE">
        <w:rPr>
          <w:rFonts w:ascii="Arial" w:hAnsi="Arial" w:cs="Arial"/>
        </w:rPr>
        <w:t>3.41</w:t>
      </w:r>
      <w:r w:rsidRPr="003B1FCE">
        <w:rPr>
          <w:rFonts w:ascii="Arial" w:hAnsi="Arial" w:cs="Arial"/>
        </w:rPr>
        <w:t xml:space="preserve">%, respectivamente. </w:t>
      </w:r>
    </w:p>
    <w:p w:rsidR="00F64E7A" w:rsidRPr="003B1FCE" w:rsidRDefault="00F64E7A" w:rsidP="00F64E7A">
      <w:pPr>
        <w:spacing w:before="100" w:beforeAutospacing="1" w:after="100" w:afterAutospacing="1" w:line="360" w:lineRule="auto"/>
        <w:contextualSpacing/>
        <w:jc w:val="both"/>
        <w:rPr>
          <w:rFonts w:ascii="Arial" w:hAnsi="Arial" w:cs="Arial"/>
        </w:rPr>
      </w:pPr>
    </w:p>
    <w:p w:rsidR="00F64E7A" w:rsidRPr="003B1FCE" w:rsidRDefault="00F64E7A" w:rsidP="00F64E7A">
      <w:pPr>
        <w:spacing w:before="100" w:beforeAutospacing="1" w:after="100" w:afterAutospacing="1" w:line="360" w:lineRule="auto"/>
        <w:contextualSpacing/>
        <w:jc w:val="both"/>
        <w:rPr>
          <w:rFonts w:ascii="Arial" w:hAnsi="Arial" w:cs="Arial"/>
        </w:rPr>
      </w:pPr>
      <w:r w:rsidRPr="003B1FCE">
        <w:rPr>
          <w:rFonts w:ascii="Arial" w:hAnsi="Arial" w:cs="Arial"/>
        </w:rPr>
        <w:t xml:space="preserve">En esta misma línea, por artículo obtuvieron los siguientes índices con relación a la Primera Evaluación Vinculante: </w:t>
      </w:r>
    </w:p>
    <w:tbl>
      <w:tblPr>
        <w:tblStyle w:val="Tablaconcuadrcula"/>
        <w:tblW w:w="0" w:type="auto"/>
        <w:tblLook w:val="04A0" w:firstRow="1" w:lastRow="0" w:firstColumn="1" w:lastColumn="0" w:noHBand="0" w:noVBand="1"/>
      </w:tblPr>
      <w:tblGrid>
        <w:gridCol w:w="3659"/>
        <w:gridCol w:w="2148"/>
        <w:gridCol w:w="2092"/>
        <w:gridCol w:w="12"/>
        <w:gridCol w:w="908"/>
      </w:tblGrid>
      <w:tr w:rsidR="00F64E7A" w:rsidRPr="003B1FCE" w:rsidTr="00B018FB">
        <w:tc>
          <w:tcPr>
            <w:tcW w:w="3659" w:type="dxa"/>
            <w:shd w:val="clear" w:color="auto" w:fill="ED7D31" w:themeFill="accent2"/>
          </w:tcPr>
          <w:p w:rsidR="00F64E7A" w:rsidRPr="003B1FCE" w:rsidRDefault="00F64E7A" w:rsidP="00D23BCA">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Artículo</w:t>
            </w:r>
          </w:p>
        </w:tc>
        <w:tc>
          <w:tcPr>
            <w:tcW w:w="2148" w:type="dxa"/>
            <w:shd w:val="clear" w:color="auto" w:fill="ED7D31" w:themeFill="accent2"/>
          </w:tcPr>
          <w:p w:rsidR="00F64E7A" w:rsidRPr="003B1FCE" w:rsidRDefault="00F64E7A" w:rsidP="00D23BCA">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ICP – 1ª Evaluación</w:t>
            </w:r>
          </w:p>
        </w:tc>
        <w:tc>
          <w:tcPr>
            <w:tcW w:w="2092" w:type="dxa"/>
            <w:shd w:val="clear" w:color="auto" w:fill="ED7D31" w:themeFill="accent2"/>
          </w:tcPr>
          <w:p w:rsidR="00F64E7A" w:rsidRPr="003B1FCE" w:rsidRDefault="00F64E7A" w:rsidP="00D23BCA">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ICP – 3ª Evaluación</w:t>
            </w:r>
          </w:p>
        </w:tc>
        <w:tc>
          <w:tcPr>
            <w:tcW w:w="920" w:type="dxa"/>
            <w:gridSpan w:val="2"/>
            <w:shd w:val="clear" w:color="auto" w:fill="ED7D31" w:themeFill="accent2"/>
          </w:tcPr>
          <w:p w:rsidR="00F64E7A" w:rsidRPr="003B1FCE" w:rsidRDefault="00F64E7A" w:rsidP="00D23BCA">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Mejoría</w:t>
            </w:r>
          </w:p>
        </w:tc>
      </w:tr>
      <w:tr w:rsidR="00501317" w:rsidRPr="003B1FCE" w:rsidTr="00D23BCA">
        <w:tc>
          <w:tcPr>
            <w:tcW w:w="3659" w:type="dxa"/>
          </w:tcPr>
          <w:p w:rsidR="00501317" w:rsidRPr="003B1FCE" w:rsidRDefault="00501317" w:rsidP="00501317">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121 – Obligaciones Comunes</w:t>
            </w:r>
          </w:p>
        </w:tc>
        <w:tc>
          <w:tcPr>
            <w:tcW w:w="2148" w:type="dxa"/>
            <w:vAlign w:val="center"/>
          </w:tcPr>
          <w:p w:rsidR="00501317" w:rsidRPr="003B1FCE" w:rsidRDefault="00501317" w:rsidP="00501317">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64.66</w:t>
            </w:r>
          </w:p>
        </w:tc>
        <w:tc>
          <w:tcPr>
            <w:tcW w:w="2104" w:type="dxa"/>
            <w:gridSpan w:val="2"/>
            <w:vAlign w:val="center"/>
          </w:tcPr>
          <w:p w:rsidR="00501317" w:rsidRPr="003B1FCE" w:rsidRDefault="00501317" w:rsidP="00501317">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90.51</w:t>
            </w:r>
          </w:p>
        </w:tc>
        <w:tc>
          <w:tcPr>
            <w:tcW w:w="908" w:type="dxa"/>
            <w:vAlign w:val="center"/>
          </w:tcPr>
          <w:p w:rsidR="00501317" w:rsidRPr="003B1FCE" w:rsidRDefault="00501317" w:rsidP="00501317">
            <w:pPr>
              <w:jc w:val="center"/>
              <w:rPr>
                <w:rFonts w:ascii="Arial" w:hAnsi="Arial" w:cs="Arial"/>
                <w:color w:val="000000"/>
                <w:sz w:val="20"/>
                <w:szCs w:val="20"/>
              </w:rPr>
            </w:pPr>
            <w:r w:rsidRPr="003B1FCE">
              <w:rPr>
                <w:rFonts w:ascii="Arial" w:hAnsi="Arial" w:cs="Arial"/>
                <w:color w:val="000000"/>
                <w:sz w:val="20"/>
                <w:szCs w:val="20"/>
              </w:rPr>
              <w:t>25.85</w:t>
            </w:r>
          </w:p>
        </w:tc>
      </w:tr>
      <w:tr w:rsidR="00501317" w:rsidRPr="003B1FCE" w:rsidTr="00D23BCA">
        <w:tc>
          <w:tcPr>
            <w:tcW w:w="3659" w:type="dxa"/>
          </w:tcPr>
          <w:p w:rsidR="00501317" w:rsidRPr="003B1FCE" w:rsidRDefault="00501317" w:rsidP="00501317">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122 – Obligaciones Comunes</w:t>
            </w:r>
          </w:p>
        </w:tc>
        <w:tc>
          <w:tcPr>
            <w:tcW w:w="2148" w:type="dxa"/>
            <w:vAlign w:val="center"/>
          </w:tcPr>
          <w:p w:rsidR="00501317" w:rsidRPr="003B1FCE" w:rsidRDefault="00501317" w:rsidP="00501317">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67.80</w:t>
            </w:r>
          </w:p>
        </w:tc>
        <w:tc>
          <w:tcPr>
            <w:tcW w:w="2104" w:type="dxa"/>
            <w:gridSpan w:val="2"/>
            <w:vAlign w:val="center"/>
          </w:tcPr>
          <w:p w:rsidR="00501317" w:rsidRPr="003B1FCE" w:rsidRDefault="00501317" w:rsidP="00501317">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90.07</w:t>
            </w:r>
          </w:p>
        </w:tc>
        <w:tc>
          <w:tcPr>
            <w:tcW w:w="908" w:type="dxa"/>
            <w:vAlign w:val="center"/>
          </w:tcPr>
          <w:p w:rsidR="00501317" w:rsidRPr="003B1FCE" w:rsidRDefault="00501317" w:rsidP="00501317">
            <w:pPr>
              <w:jc w:val="center"/>
              <w:rPr>
                <w:rFonts w:ascii="Arial" w:hAnsi="Arial" w:cs="Arial"/>
                <w:color w:val="000000"/>
                <w:sz w:val="20"/>
                <w:szCs w:val="20"/>
              </w:rPr>
            </w:pPr>
            <w:r w:rsidRPr="003B1FCE">
              <w:rPr>
                <w:rFonts w:ascii="Arial" w:hAnsi="Arial" w:cs="Arial"/>
                <w:color w:val="000000"/>
                <w:sz w:val="20"/>
                <w:szCs w:val="20"/>
              </w:rPr>
              <w:t>22.27</w:t>
            </w:r>
          </w:p>
        </w:tc>
      </w:tr>
      <w:tr w:rsidR="00501317" w:rsidRPr="003B1FCE" w:rsidTr="00D23BCA">
        <w:tc>
          <w:tcPr>
            <w:tcW w:w="3659" w:type="dxa"/>
          </w:tcPr>
          <w:p w:rsidR="00501317" w:rsidRPr="003B1FCE" w:rsidRDefault="00501317" w:rsidP="00501317">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124 – Obligaciones Específicas de las Demarcaciones Territoriales</w:t>
            </w:r>
          </w:p>
        </w:tc>
        <w:tc>
          <w:tcPr>
            <w:tcW w:w="2148" w:type="dxa"/>
            <w:vAlign w:val="center"/>
          </w:tcPr>
          <w:p w:rsidR="00501317" w:rsidRPr="003B1FCE" w:rsidRDefault="00501317" w:rsidP="00501317">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60.12</w:t>
            </w:r>
          </w:p>
        </w:tc>
        <w:tc>
          <w:tcPr>
            <w:tcW w:w="2104" w:type="dxa"/>
            <w:gridSpan w:val="2"/>
            <w:vAlign w:val="center"/>
          </w:tcPr>
          <w:p w:rsidR="00501317" w:rsidRPr="003B1FCE" w:rsidRDefault="00501317" w:rsidP="00501317">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88.72</w:t>
            </w:r>
          </w:p>
        </w:tc>
        <w:tc>
          <w:tcPr>
            <w:tcW w:w="908" w:type="dxa"/>
            <w:vAlign w:val="center"/>
          </w:tcPr>
          <w:p w:rsidR="00501317" w:rsidRPr="003B1FCE" w:rsidRDefault="00501317" w:rsidP="00501317">
            <w:pPr>
              <w:jc w:val="center"/>
              <w:rPr>
                <w:rFonts w:ascii="Arial" w:hAnsi="Arial" w:cs="Arial"/>
                <w:color w:val="000000"/>
                <w:sz w:val="20"/>
                <w:szCs w:val="20"/>
              </w:rPr>
            </w:pPr>
            <w:r w:rsidRPr="003B1FCE">
              <w:rPr>
                <w:rFonts w:ascii="Arial" w:hAnsi="Arial" w:cs="Arial"/>
                <w:color w:val="000000"/>
                <w:sz w:val="20"/>
                <w:szCs w:val="20"/>
              </w:rPr>
              <w:t>28.6</w:t>
            </w:r>
          </w:p>
        </w:tc>
      </w:tr>
      <w:tr w:rsidR="00501317" w:rsidRPr="003B1FCE" w:rsidTr="00D23BCA">
        <w:tc>
          <w:tcPr>
            <w:tcW w:w="3659" w:type="dxa"/>
          </w:tcPr>
          <w:p w:rsidR="00501317" w:rsidRPr="003B1FCE" w:rsidRDefault="00501317" w:rsidP="00501317">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 xml:space="preserve">143 – Obra Pública </w:t>
            </w:r>
          </w:p>
        </w:tc>
        <w:tc>
          <w:tcPr>
            <w:tcW w:w="2148" w:type="dxa"/>
            <w:vAlign w:val="center"/>
          </w:tcPr>
          <w:p w:rsidR="00501317" w:rsidRPr="003B1FCE" w:rsidRDefault="00501317" w:rsidP="00501317">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85.54</w:t>
            </w:r>
          </w:p>
        </w:tc>
        <w:tc>
          <w:tcPr>
            <w:tcW w:w="2104" w:type="dxa"/>
            <w:gridSpan w:val="2"/>
            <w:vAlign w:val="center"/>
          </w:tcPr>
          <w:p w:rsidR="00501317" w:rsidRPr="003B1FCE" w:rsidRDefault="00501317" w:rsidP="00501317">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89.63</w:t>
            </w:r>
          </w:p>
        </w:tc>
        <w:tc>
          <w:tcPr>
            <w:tcW w:w="908" w:type="dxa"/>
            <w:vAlign w:val="center"/>
          </w:tcPr>
          <w:p w:rsidR="00501317" w:rsidRPr="003B1FCE" w:rsidRDefault="00501317" w:rsidP="00501317">
            <w:pPr>
              <w:jc w:val="center"/>
              <w:rPr>
                <w:rFonts w:ascii="Arial" w:hAnsi="Arial" w:cs="Arial"/>
                <w:color w:val="000000"/>
                <w:sz w:val="20"/>
                <w:szCs w:val="20"/>
              </w:rPr>
            </w:pPr>
            <w:r w:rsidRPr="003B1FCE">
              <w:rPr>
                <w:rFonts w:ascii="Arial" w:hAnsi="Arial" w:cs="Arial"/>
                <w:color w:val="000000"/>
                <w:sz w:val="20"/>
                <w:szCs w:val="20"/>
              </w:rPr>
              <w:t>4.09</w:t>
            </w:r>
          </w:p>
        </w:tc>
      </w:tr>
      <w:tr w:rsidR="00501317" w:rsidRPr="003B1FCE" w:rsidTr="00D23BCA">
        <w:tc>
          <w:tcPr>
            <w:tcW w:w="3659" w:type="dxa"/>
          </w:tcPr>
          <w:p w:rsidR="00501317" w:rsidRPr="003B1FCE" w:rsidRDefault="00501317" w:rsidP="00501317">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145 – Portal de Transparencia</w:t>
            </w:r>
          </w:p>
        </w:tc>
        <w:tc>
          <w:tcPr>
            <w:tcW w:w="2148" w:type="dxa"/>
            <w:vAlign w:val="center"/>
          </w:tcPr>
          <w:p w:rsidR="00501317" w:rsidRPr="003B1FCE" w:rsidRDefault="00501317" w:rsidP="00501317">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97.55</w:t>
            </w:r>
          </w:p>
        </w:tc>
        <w:tc>
          <w:tcPr>
            <w:tcW w:w="2104" w:type="dxa"/>
            <w:gridSpan w:val="2"/>
            <w:vAlign w:val="center"/>
          </w:tcPr>
          <w:p w:rsidR="00501317" w:rsidRPr="003B1FCE" w:rsidRDefault="00501317" w:rsidP="00501317">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99.61</w:t>
            </w:r>
          </w:p>
        </w:tc>
        <w:tc>
          <w:tcPr>
            <w:tcW w:w="908" w:type="dxa"/>
            <w:vAlign w:val="center"/>
          </w:tcPr>
          <w:p w:rsidR="00501317" w:rsidRPr="003B1FCE" w:rsidRDefault="00501317" w:rsidP="00501317">
            <w:pPr>
              <w:jc w:val="center"/>
              <w:rPr>
                <w:rFonts w:ascii="Arial" w:hAnsi="Arial" w:cs="Arial"/>
                <w:color w:val="000000"/>
                <w:sz w:val="20"/>
                <w:szCs w:val="20"/>
              </w:rPr>
            </w:pPr>
            <w:r w:rsidRPr="003B1FCE">
              <w:rPr>
                <w:rFonts w:ascii="Arial" w:hAnsi="Arial" w:cs="Arial"/>
                <w:color w:val="000000"/>
                <w:sz w:val="20"/>
                <w:szCs w:val="20"/>
              </w:rPr>
              <w:t>2.06</w:t>
            </w:r>
          </w:p>
        </w:tc>
      </w:tr>
      <w:tr w:rsidR="00501317" w:rsidRPr="003B1FCE" w:rsidTr="00D23BCA">
        <w:tc>
          <w:tcPr>
            <w:tcW w:w="3659" w:type="dxa"/>
          </w:tcPr>
          <w:p w:rsidR="00501317" w:rsidRPr="003B1FCE" w:rsidRDefault="00501317" w:rsidP="00501317">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146 – Calendario de actualización</w:t>
            </w:r>
          </w:p>
        </w:tc>
        <w:tc>
          <w:tcPr>
            <w:tcW w:w="2148" w:type="dxa"/>
            <w:vAlign w:val="center"/>
          </w:tcPr>
          <w:p w:rsidR="00501317" w:rsidRPr="003B1FCE" w:rsidRDefault="00501317" w:rsidP="00501317">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12.75</w:t>
            </w:r>
          </w:p>
        </w:tc>
        <w:tc>
          <w:tcPr>
            <w:tcW w:w="2104" w:type="dxa"/>
            <w:gridSpan w:val="2"/>
            <w:vAlign w:val="center"/>
          </w:tcPr>
          <w:p w:rsidR="00501317" w:rsidRPr="003B1FCE" w:rsidRDefault="00501317" w:rsidP="00501317">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93.68</w:t>
            </w:r>
          </w:p>
        </w:tc>
        <w:tc>
          <w:tcPr>
            <w:tcW w:w="908" w:type="dxa"/>
            <w:vAlign w:val="center"/>
          </w:tcPr>
          <w:p w:rsidR="00501317" w:rsidRPr="003B1FCE" w:rsidRDefault="00501317" w:rsidP="00501317">
            <w:pPr>
              <w:jc w:val="center"/>
              <w:rPr>
                <w:rFonts w:ascii="Arial" w:hAnsi="Arial" w:cs="Arial"/>
                <w:color w:val="000000"/>
                <w:sz w:val="20"/>
                <w:szCs w:val="20"/>
              </w:rPr>
            </w:pPr>
            <w:r w:rsidRPr="003B1FCE">
              <w:rPr>
                <w:rFonts w:ascii="Arial" w:hAnsi="Arial" w:cs="Arial"/>
                <w:color w:val="000000"/>
                <w:sz w:val="20"/>
                <w:szCs w:val="20"/>
              </w:rPr>
              <w:t>80.93</w:t>
            </w:r>
          </w:p>
        </w:tc>
      </w:tr>
      <w:tr w:rsidR="00501317" w:rsidRPr="003B1FCE" w:rsidTr="00D23BCA">
        <w:tc>
          <w:tcPr>
            <w:tcW w:w="3659" w:type="dxa"/>
          </w:tcPr>
          <w:p w:rsidR="00501317" w:rsidRPr="003B1FCE" w:rsidRDefault="00501317" w:rsidP="00501317">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 xml:space="preserve">147 – Informes respecto de recursos otorgados por el sujeto obligado a terceros </w:t>
            </w:r>
          </w:p>
        </w:tc>
        <w:tc>
          <w:tcPr>
            <w:tcW w:w="2148" w:type="dxa"/>
            <w:vAlign w:val="center"/>
          </w:tcPr>
          <w:p w:rsidR="00501317" w:rsidRPr="003B1FCE" w:rsidRDefault="00501317" w:rsidP="00501317">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67.42</w:t>
            </w:r>
          </w:p>
        </w:tc>
        <w:tc>
          <w:tcPr>
            <w:tcW w:w="2104" w:type="dxa"/>
            <w:gridSpan w:val="2"/>
            <w:vAlign w:val="center"/>
          </w:tcPr>
          <w:p w:rsidR="00501317" w:rsidRPr="003B1FCE" w:rsidRDefault="00501317" w:rsidP="00501317">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90.80</w:t>
            </w:r>
          </w:p>
        </w:tc>
        <w:tc>
          <w:tcPr>
            <w:tcW w:w="908" w:type="dxa"/>
            <w:vAlign w:val="center"/>
          </w:tcPr>
          <w:p w:rsidR="00501317" w:rsidRPr="003B1FCE" w:rsidRDefault="00501317" w:rsidP="00501317">
            <w:pPr>
              <w:jc w:val="center"/>
              <w:rPr>
                <w:rFonts w:ascii="Arial" w:hAnsi="Arial" w:cs="Arial"/>
                <w:color w:val="000000"/>
                <w:sz w:val="20"/>
                <w:szCs w:val="20"/>
              </w:rPr>
            </w:pPr>
            <w:r w:rsidRPr="003B1FCE">
              <w:rPr>
                <w:rFonts w:ascii="Arial" w:hAnsi="Arial" w:cs="Arial"/>
                <w:color w:val="000000"/>
                <w:sz w:val="20"/>
                <w:szCs w:val="20"/>
              </w:rPr>
              <w:t>23.38</w:t>
            </w:r>
          </w:p>
        </w:tc>
      </w:tr>
    </w:tbl>
    <w:p w:rsidR="00F64E7A" w:rsidRPr="003B1FCE" w:rsidRDefault="00F64E7A" w:rsidP="00F64E7A">
      <w:pPr>
        <w:spacing w:before="100" w:beforeAutospacing="1" w:after="100" w:afterAutospacing="1" w:line="360" w:lineRule="auto"/>
        <w:contextualSpacing/>
        <w:jc w:val="both"/>
        <w:rPr>
          <w:rFonts w:ascii="Arial" w:hAnsi="Arial" w:cs="Arial"/>
        </w:rPr>
      </w:pPr>
    </w:p>
    <w:p w:rsidR="004D62A7" w:rsidRPr="003B1FCE" w:rsidRDefault="00F64E7A" w:rsidP="00F64E7A">
      <w:pPr>
        <w:spacing w:before="100" w:beforeAutospacing="1" w:after="100" w:afterAutospacing="1" w:line="360" w:lineRule="auto"/>
        <w:contextualSpacing/>
        <w:jc w:val="both"/>
        <w:rPr>
          <w:rFonts w:ascii="Arial" w:hAnsi="Arial" w:cs="Arial"/>
        </w:rPr>
      </w:pPr>
      <w:r w:rsidRPr="003B1FCE">
        <w:rPr>
          <w:rFonts w:ascii="Arial" w:hAnsi="Arial" w:cs="Arial"/>
        </w:rPr>
        <w:t>Del comparativo anteriormente plasmado, se puede apreciar que este ámbito tuvo un incremento sustantivo en todos sus índices por artículo</w:t>
      </w:r>
      <w:r w:rsidR="004D62A7" w:rsidRPr="003B1FCE">
        <w:rPr>
          <w:rFonts w:ascii="Arial" w:hAnsi="Arial" w:cs="Arial"/>
        </w:rPr>
        <w:t xml:space="preserve">; de igual forma, el ICP de todos los artículos tuvo un cumplimiento parcial. </w:t>
      </w:r>
    </w:p>
    <w:p w:rsidR="004D62A7" w:rsidRPr="003B1FCE" w:rsidRDefault="004D62A7" w:rsidP="00F64E7A">
      <w:pPr>
        <w:spacing w:before="100" w:beforeAutospacing="1" w:after="100" w:afterAutospacing="1" w:line="360" w:lineRule="auto"/>
        <w:contextualSpacing/>
        <w:jc w:val="both"/>
        <w:rPr>
          <w:rFonts w:ascii="Arial" w:hAnsi="Arial" w:cs="Arial"/>
        </w:rPr>
      </w:pPr>
    </w:p>
    <w:p w:rsidR="004D62A7" w:rsidRPr="003B1FCE" w:rsidRDefault="00501317" w:rsidP="00F64E7A">
      <w:pPr>
        <w:spacing w:before="100" w:beforeAutospacing="1" w:after="100" w:afterAutospacing="1" w:line="360" w:lineRule="auto"/>
        <w:contextualSpacing/>
        <w:jc w:val="both"/>
        <w:rPr>
          <w:rFonts w:ascii="Arial" w:hAnsi="Arial" w:cs="Arial"/>
        </w:rPr>
      </w:pPr>
      <w:r w:rsidRPr="003B1FCE">
        <w:rPr>
          <w:rFonts w:ascii="Arial" w:hAnsi="Arial" w:cs="Arial"/>
        </w:rPr>
        <w:lastRenderedPageBreak/>
        <w:t>En lo que respecta a las obligaciones comunes, pasó de tener un ICP entre 60% y 65% a un IGOT de 90%; por lo que tuvo un incremento promedio de 24.06 puntos. Sobre las obligaciones específicas, las Demarcaciones tuvieron un incremento de 28.6 puntos, pasando de un ICP de 60.12% a un ICP de 88.72%</w:t>
      </w:r>
      <w:r w:rsidR="004D62A7" w:rsidRPr="003B1FCE">
        <w:rPr>
          <w:rFonts w:ascii="Arial" w:hAnsi="Arial" w:cs="Arial"/>
        </w:rPr>
        <w:t>; por lo que aun hay presente</w:t>
      </w:r>
      <w:r w:rsidR="00D71D7B">
        <w:rPr>
          <w:rFonts w:ascii="Arial" w:hAnsi="Arial" w:cs="Arial"/>
        </w:rPr>
        <w:t>s</w:t>
      </w:r>
      <w:r w:rsidR="004D62A7" w:rsidRPr="003B1FCE">
        <w:rPr>
          <w:rFonts w:ascii="Arial" w:hAnsi="Arial" w:cs="Arial"/>
        </w:rPr>
        <w:t xml:space="preserve"> varias áreas de oportunidad que atender por parte de las Demarcaciones en sus Portales Institucionales y en la Plataforma Nacional de Transparencia. </w:t>
      </w:r>
      <w:r w:rsidR="00F64E7A" w:rsidRPr="003B1FCE">
        <w:rPr>
          <w:rFonts w:ascii="Arial" w:hAnsi="Arial" w:cs="Arial"/>
        </w:rPr>
        <w:t xml:space="preserve">Por último, </w:t>
      </w:r>
      <w:r w:rsidR="004D62A7" w:rsidRPr="003B1FCE">
        <w:rPr>
          <w:rFonts w:ascii="Arial" w:hAnsi="Arial" w:cs="Arial"/>
        </w:rPr>
        <w:t xml:space="preserve">las disposiciones particulares tuvieron un incremento promedio de 27.61%, encontrándose su ICP entre 89% y 99%. Es pertinente resaltar que la disposición particular consistente en publicar el calendario de actualización de las obligaciones de transparencia pasó de tener un incumplimiento parcial de 12.75% a un cumplimiento de 93.68%. </w:t>
      </w:r>
    </w:p>
    <w:p w:rsidR="004D62A7" w:rsidRPr="003B1FCE" w:rsidRDefault="004D62A7" w:rsidP="00F64E7A">
      <w:pPr>
        <w:spacing w:before="100" w:beforeAutospacing="1" w:after="100" w:afterAutospacing="1" w:line="360" w:lineRule="auto"/>
        <w:contextualSpacing/>
        <w:jc w:val="both"/>
        <w:rPr>
          <w:rFonts w:ascii="Arial" w:hAnsi="Arial" w:cs="Arial"/>
        </w:rPr>
      </w:pPr>
    </w:p>
    <w:p w:rsidR="00F64E7A" w:rsidRPr="003B1FCE" w:rsidRDefault="00F64E7A" w:rsidP="00F64E7A">
      <w:pPr>
        <w:spacing w:before="100" w:beforeAutospacing="1" w:after="100" w:afterAutospacing="1" w:line="360" w:lineRule="auto"/>
        <w:contextualSpacing/>
        <w:jc w:val="both"/>
        <w:rPr>
          <w:rFonts w:ascii="Arial" w:hAnsi="Arial" w:cs="Arial"/>
        </w:rPr>
      </w:pPr>
      <w:r w:rsidRPr="003B1FCE">
        <w:rPr>
          <w:rFonts w:ascii="Arial" w:hAnsi="Arial" w:cs="Arial"/>
        </w:rPr>
        <w:t xml:space="preserve">El Poder </w:t>
      </w:r>
      <w:r w:rsidR="004D62A7" w:rsidRPr="003B1FCE">
        <w:rPr>
          <w:rFonts w:ascii="Arial" w:hAnsi="Arial" w:cs="Arial"/>
        </w:rPr>
        <w:t>Ejecutivo – Demarcaciones Territoriales</w:t>
      </w:r>
      <w:r w:rsidRPr="003B1FCE">
        <w:rPr>
          <w:rFonts w:ascii="Arial" w:hAnsi="Arial" w:cs="Arial"/>
        </w:rPr>
        <w:t xml:space="preserve"> obtuvo un incremento promedio en su índice por artículo de </w:t>
      </w:r>
      <w:r w:rsidR="004D62A7" w:rsidRPr="003B1FCE">
        <w:rPr>
          <w:rFonts w:ascii="Arial" w:hAnsi="Arial" w:cs="Arial"/>
        </w:rPr>
        <w:t>26.74</w:t>
      </w:r>
      <w:r w:rsidR="00900995" w:rsidRPr="003B1FCE">
        <w:rPr>
          <w:rFonts w:ascii="Arial" w:hAnsi="Arial" w:cs="Arial"/>
        </w:rPr>
        <w:t xml:space="preserve"> puntos</w:t>
      </w:r>
      <w:r w:rsidRPr="003B1FCE">
        <w:rPr>
          <w:rFonts w:ascii="Arial" w:hAnsi="Arial" w:cs="Arial"/>
        </w:rPr>
        <w:t>.</w:t>
      </w:r>
    </w:p>
    <w:p w:rsidR="00F64E7A" w:rsidRPr="003B1FCE" w:rsidRDefault="00F64E7A" w:rsidP="00F64E7A">
      <w:pPr>
        <w:spacing w:before="100" w:beforeAutospacing="1" w:after="100" w:afterAutospacing="1" w:line="360" w:lineRule="auto"/>
        <w:contextualSpacing/>
        <w:jc w:val="both"/>
        <w:rPr>
          <w:rFonts w:ascii="Arial" w:hAnsi="Arial" w:cs="Arial"/>
        </w:rPr>
      </w:pPr>
    </w:p>
    <w:p w:rsidR="00F64E7A" w:rsidRPr="003B1FCE" w:rsidRDefault="00F64E7A" w:rsidP="00F64E7A">
      <w:pPr>
        <w:spacing w:before="100" w:beforeAutospacing="1" w:after="100" w:afterAutospacing="1" w:line="360" w:lineRule="auto"/>
        <w:contextualSpacing/>
        <w:jc w:val="both"/>
        <w:rPr>
          <w:rFonts w:ascii="Arial" w:hAnsi="Arial" w:cs="Arial"/>
          <w:b/>
          <w:bCs/>
        </w:rPr>
      </w:pPr>
      <w:r w:rsidRPr="003B1FCE">
        <w:rPr>
          <w:rFonts w:ascii="Arial" w:hAnsi="Arial" w:cs="Arial"/>
          <w:b/>
          <w:bCs/>
        </w:rPr>
        <w:t>Comparativo de índices entre la Primera Evaluación Vinculante 2019 y la Tercera Evaluación Vinculante 2019</w:t>
      </w:r>
    </w:p>
    <w:tbl>
      <w:tblPr>
        <w:tblW w:w="9067" w:type="dxa"/>
        <w:tblLayout w:type="fixed"/>
        <w:tblCellMar>
          <w:left w:w="70" w:type="dxa"/>
          <w:right w:w="70" w:type="dxa"/>
        </w:tblCellMar>
        <w:tblLook w:val="04A0" w:firstRow="1" w:lastRow="0" w:firstColumn="1" w:lastColumn="0" w:noHBand="0" w:noVBand="1"/>
      </w:tblPr>
      <w:tblGrid>
        <w:gridCol w:w="463"/>
        <w:gridCol w:w="4352"/>
        <w:gridCol w:w="1559"/>
        <w:gridCol w:w="1703"/>
        <w:gridCol w:w="990"/>
      </w:tblGrid>
      <w:tr w:rsidR="00F64E7A" w:rsidRPr="003B1FCE" w:rsidTr="00B018FB">
        <w:trPr>
          <w:trHeight w:val="860"/>
          <w:tblHeader/>
        </w:trPr>
        <w:tc>
          <w:tcPr>
            <w:tcW w:w="9067" w:type="dxa"/>
            <w:gridSpan w:val="5"/>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F64E7A" w:rsidRPr="003B1FCE" w:rsidRDefault="00F64E7A" w:rsidP="00D23BCA">
            <w:pPr>
              <w:jc w:val="center"/>
              <w:rPr>
                <w:rFonts w:ascii="Arial" w:hAnsi="Arial" w:cs="Arial"/>
                <w:b/>
                <w:bCs/>
                <w:color w:val="000000"/>
                <w:sz w:val="20"/>
                <w:szCs w:val="20"/>
              </w:rPr>
            </w:pPr>
            <w:r w:rsidRPr="003B1FCE">
              <w:rPr>
                <w:rFonts w:ascii="Arial" w:hAnsi="Arial" w:cs="Arial"/>
                <w:b/>
                <w:bCs/>
                <w:color w:val="000000"/>
                <w:sz w:val="20"/>
                <w:szCs w:val="20"/>
              </w:rPr>
              <w:t>Resultados de la Tercera Evaluación Vinculante 2019, respecto de las recomendaciones y observaciones de la Primera Evaluación Vinculante 2019</w:t>
            </w:r>
          </w:p>
        </w:tc>
      </w:tr>
      <w:tr w:rsidR="00F64E7A" w:rsidRPr="003B1FCE" w:rsidTr="00B018FB">
        <w:trPr>
          <w:trHeight w:val="340"/>
          <w:tblHeader/>
        </w:trPr>
        <w:tc>
          <w:tcPr>
            <w:tcW w:w="463" w:type="dxa"/>
            <w:tcBorders>
              <w:top w:val="nil"/>
              <w:left w:val="single" w:sz="4" w:space="0" w:color="auto"/>
              <w:bottom w:val="single" w:sz="4" w:space="0" w:color="auto"/>
              <w:right w:val="single" w:sz="4" w:space="0" w:color="auto"/>
            </w:tcBorders>
            <w:shd w:val="clear" w:color="auto" w:fill="ED7D31" w:themeFill="accent2"/>
            <w:vAlign w:val="center"/>
            <w:hideMark/>
          </w:tcPr>
          <w:p w:rsidR="00F64E7A" w:rsidRPr="003B1FCE" w:rsidRDefault="00F64E7A" w:rsidP="00D23BCA">
            <w:pPr>
              <w:jc w:val="center"/>
              <w:rPr>
                <w:rFonts w:ascii="Arial" w:hAnsi="Arial" w:cs="Arial"/>
                <w:b/>
                <w:bCs/>
                <w:color w:val="000000"/>
                <w:sz w:val="20"/>
                <w:szCs w:val="20"/>
              </w:rPr>
            </w:pPr>
            <w:r w:rsidRPr="003B1FCE">
              <w:rPr>
                <w:rFonts w:ascii="Arial" w:hAnsi="Arial" w:cs="Arial"/>
                <w:b/>
                <w:bCs/>
                <w:color w:val="000000"/>
                <w:sz w:val="20"/>
                <w:szCs w:val="20"/>
              </w:rPr>
              <w:t>No.</w:t>
            </w:r>
          </w:p>
        </w:tc>
        <w:tc>
          <w:tcPr>
            <w:tcW w:w="4352" w:type="dxa"/>
            <w:tcBorders>
              <w:top w:val="nil"/>
              <w:left w:val="nil"/>
              <w:bottom w:val="single" w:sz="4" w:space="0" w:color="auto"/>
              <w:right w:val="single" w:sz="4" w:space="0" w:color="auto"/>
            </w:tcBorders>
            <w:shd w:val="clear" w:color="auto" w:fill="ED7D31" w:themeFill="accent2"/>
            <w:vAlign w:val="center"/>
            <w:hideMark/>
          </w:tcPr>
          <w:p w:rsidR="00F64E7A" w:rsidRPr="003B1FCE" w:rsidRDefault="00F64E7A" w:rsidP="00D23BCA">
            <w:pPr>
              <w:jc w:val="center"/>
              <w:rPr>
                <w:rFonts w:ascii="Arial" w:hAnsi="Arial" w:cs="Arial"/>
                <w:b/>
                <w:bCs/>
                <w:color w:val="000000"/>
                <w:sz w:val="20"/>
                <w:szCs w:val="20"/>
              </w:rPr>
            </w:pPr>
            <w:r w:rsidRPr="003B1FCE">
              <w:rPr>
                <w:rFonts w:ascii="Arial" w:hAnsi="Arial" w:cs="Arial"/>
                <w:b/>
                <w:bCs/>
                <w:color w:val="000000"/>
                <w:sz w:val="20"/>
                <w:szCs w:val="20"/>
              </w:rPr>
              <w:t>Sujeto obligado</w:t>
            </w:r>
          </w:p>
        </w:tc>
        <w:tc>
          <w:tcPr>
            <w:tcW w:w="1559" w:type="dxa"/>
            <w:tcBorders>
              <w:top w:val="nil"/>
              <w:left w:val="nil"/>
              <w:bottom w:val="single" w:sz="4" w:space="0" w:color="auto"/>
              <w:right w:val="single" w:sz="4" w:space="0" w:color="auto"/>
            </w:tcBorders>
            <w:shd w:val="clear" w:color="auto" w:fill="ED7D31" w:themeFill="accent2"/>
            <w:vAlign w:val="center"/>
            <w:hideMark/>
          </w:tcPr>
          <w:p w:rsidR="00F64E7A" w:rsidRPr="003B1FCE" w:rsidRDefault="00F64E7A" w:rsidP="00D23BCA">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1a Evaluación Vinculante 2019, respecto del ejercicio 2018</w:t>
            </w:r>
          </w:p>
        </w:tc>
        <w:tc>
          <w:tcPr>
            <w:tcW w:w="1703" w:type="dxa"/>
            <w:tcBorders>
              <w:top w:val="nil"/>
              <w:left w:val="nil"/>
              <w:bottom w:val="single" w:sz="4" w:space="0" w:color="auto"/>
              <w:right w:val="single" w:sz="4" w:space="0" w:color="auto"/>
            </w:tcBorders>
            <w:shd w:val="clear" w:color="auto" w:fill="ED7D31" w:themeFill="accent2"/>
            <w:vAlign w:val="center"/>
            <w:hideMark/>
          </w:tcPr>
          <w:p w:rsidR="00F64E7A" w:rsidRPr="003B1FCE" w:rsidRDefault="00F64E7A" w:rsidP="00D23BCA">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3a Evaluación Vinculante, respecto de la 1a Evaluación Vinculante</w:t>
            </w:r>
          </w:p>
        </w:tc>
        <w:tc>
          <w:tcPr>
            <w:tcW w:w="990" w:type="dxa"/>
            <w:tcBorders>
              <w:top w:val="nil"/>
              <w:left w:val="nil"/>
              <w:bottom w:val="single" w:sz="4" w:space="0" w:color="auto"/>
              <w:right w:val="single" w:sz="4" w:space="0" w:color="auto"/>
            </w:tcBorders>
            <w:shd w:val="clear" w:color="auto" w:fill="ED7D31" w:themeFill="accent2"/>
            <w:vAlign w:val="center"/>
            <w:hideMark/>
          </w:tcPr>
          <w:p w:rsidR="00F64E7A" w:rsidRPr="003B1FCE" w:rsidRDefault="00F64E7A" w:rsidP="00D23BCA">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Mejoría</w:t>
            </w:r>
          </w:p>
        </w:tc>
      </w:tr>
      <w:tr w:rsidR="004D62A7" w:rsidRPr="003B1FCE" w:rsidTr="004D62A7">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1</w:t>
            </w:r>
          </w:p>
        </w:tc>
        <w:tc>
          <w:tcPr>
            <w:tcW w:w="4352"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rPr>
                <w:rFonts w:ascii="Arial" w:hAnsi="Arial" w:cs="Arial"/>
                <w:color w:val="000000"/>
                <w:sz w:val="20"/>
                <w:szCs w:val="20"/>
              </w:rPr>
            </w:pPr>
            <w:r w:rsidRPr="003B1FCE">
              <w:rPr>
                <w:rFonts w:ascii="Arial" w:hAnsi="Arial" w:cs="Arial"/>
                <w:color w:val="000000"/>
                <w:sz w:val="20"/>
                <w:szCs w:val="20"/>
              </w:rPr>
              <w:t>Delegación Venustiano Carranza</w:t>
            </w:r>
          </w:p>
        </w:tc>
        <w:tc>
          <w:tcPr>
            <w:tcW w:w="1559"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87.90</w:t>
            </w:r>
          </w:p>
        </w:tc>
        <w:tc>
          <w:tcPr>
            <w:tcW w:w="1703"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12.10</w:t>
            </w:r>
          </w:p>
        </w:tc>
      </w:tr>
      <w:tr w:rsidR="004D62A7" w:rsidRPr="003B1FCE" w:rsidTr="004D62A7">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2</w:t>
            </w:r>
          </w:p>
        </w:tc>
        <w:tc>
          <w:tcPr>
            <w:tcW w:w="4352"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rPr>
                <w:rFonts w:ascii="Arial" w:hAnsi="Arial" w:cs="Arial"/>
                <w:color w:val="000000"/>
                <w:sz w:val="20"/>
                <w:szCs w:val="20"/>
              </w:rPr>
            </w:pPr>
            <w:r w:rsidRPr="003B1FCE">
              <w:rPr>
                <w:rFonts w:ascii="Arial" w:hAnsi="Arial" w:cs="Arial"/>
                <w:color w:val="000000"/>
                <w:sz w:val="20"/>
                <w:szCs w:val="20"/>
              </w:rPr>
              <w:t>Delegación Cuauhtémoc</w:t>
            </w:r>
          </w:p>
        </w:tc>
        <w:tc>
          <w:tcPr>
            <w:tcW w:w="1559"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83.59</w:t>
            </w:r>
          </w:p>
        </w:tc>
        <w:tc>
          <w:tcPr>
            <w:tcW w:w="1703"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16.41</w:t>
            </w:r>
          </w:p>
        </w:tc>
      </w:tr>
      <w:tr w:rsidR="004D62A7" w:rsidRPr="003B1FCE" w:rsidTr="004D62A7">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3</w:t>
            </w:r>
          </w:p>
        </w:tc>
        <w:tc>
          <w:tcPr>
            <w:tcW w:w="4352"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rPr>
                <w:rFonts w:ascii="Arial" w:hAnsi="Arial" w:cs="Arial"/>
                <w:color w:val="000000"/>
                <w:sz w:val="20"/>
                <w:szCs w:val="20"/>
              </w:rPr>
            </w:pPr>
            <w:r w:rsidRPr="003B1FCE">
              <w:rPr>
                <w:rFonts w:ascii="Arial" w:hAnsi="Arial" w:cs="Arial"/>
                <w:color w:val="000000"/>
                <w:sz w:val="20"/>
                <w:szCs w:val="20"/>
              </w:rPr>
              <w:t>Delegación Cuajimalpa de Morelos</w:t>
            </w:r>
          </w:p>
        </w:tc>
        <w:tc>
          <w:tcPr>
            <w:tcW w:w="1559"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79.79</w:t>
            </w:r>
          </w:p>
        </w:tc>
        <w:tc>
          <w:tcPr>
            <w:tcW w:w="1703"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20.21</w:t>
            </w:r>
          </w:p>
        </w:tc>
      </w:tr>
      <w:tr w:rsidR="004D62A7" w:rsidRPr="003B1FCE" w:rsidTr="004D62A7">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4</w:t>
            </w:r>
          </w:p>
        </w:tc>
        <w:tc>
          <w:tcPr>
            <w:tcW w:w="4352"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rPr>
                <w:rFonts w:ascii="Arial" w:hAnsi="Arial" w:cs="Arial"/>
                <w:color w:val="000000"/>
                <w:sz w:val="20"/>
                <w:szCs w:val="20"/>
              </w:rPr>
            </w:pPr>
            <w:r w:rsidRPr="003B1FCE">
              <w:rPr>
                <w:rFonts w:ascii="Arial" w:hAnsi="Arial" w:cs="Arial"/>
                <w:color w:val="000000"/>
                <w:sz w:val="20"/>
                <w:szCs w:val="20"/>
              </w:rPr>
              <w:t>Delegación Iztapalapa</w:t>
            </w:r>
          </w:p>
        </w:tc>
        <w:tc>
          <w:tcPr>
            <w:tcW w:w="1559"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41.63</w:t>
            </w:r>
          </w:p>
        </w:tc>
        <w:tc>
          <w:tcPr>
            <w:tcW w:w="1703"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99.97</w:t>
            </w:r>
          </w:p>
        </w:tc>
        <w:tc>
          <w:tcPr>
            <w:tcW w:w="990"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58.34</w:t>
            </w:r>
          </w:p>
        </w:tc>
      </w:tr>
      <w:tr w:rsidR="004D62A7" w:rsidRPr="003B1FCE" w:rsidTr="004D62A7">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lastRenderedPageBreak/>
              <w:t>5</w:t>
            </w:r>
          </w:p>
        </w:tc>
        <w:tc>
          <w:tcPr>
            <w:tcW w:w="4352"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rPr>
                <w:rFonts w:ascii="Arial" w:hAnsi="Arial" w:cs="Arial"/>
                <w:color w:val="000000"/>
                <w:sz w:val="20"/>
                <w:szCs w:val="20"/>
              </w:rPr>
            </w:pPr>
            <w:r w:rsidRPr="003B1FCE">
              <w:rPr>
                <w:rFonts w:ascii="Arial" w:hAnsi="Arial" w:cs="Arial"/>
                <w:color w:val="000000"/>
                <w:sz w:val="20"/>
                <w:szCs w:val="20"/>
              </w:rPr>
              <w:t>Delegación Tláhuac</w:t>
            </w:r>
          </w:p>
        </w:tc>
        <w:tc>
          <w:tcPr>
            <w:tcW w:w="1559"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78.11</w:t>
            </w:r>
          </w:p>
        </w:tc>
        <w:tc>
          <w:tcPr>
            <w:tcW w:w="1703"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99.32</w:t>
            </w:r>
          </w:p>
        </w:tc>
        <w:tc>
          <w:tcPr>
            <w:tcW w:w="990"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21.21</w:t>
            </w:r>
          </w:p>
        </w:tc>
      </w:tr>
      <w:tr w:rsidR="004D62A7" w:rsidRPr="003B1FCE" w:rsidTr="004D62A7">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6</w:t>
            </w:r>
          </w:p>
        </w:tc>
        <w:tc>
          <w:tcPr>
            <w:tcW w:w="4352"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rPr>
                <w:rFonts w:ascii="Arial" w:hAnsi="Arial" w:cs="Arial"/>
                <w:color w:val="000000"/>
                <w:sz w:val="20"/>
                <w:szCs w:val="20"/>
              </w:rPr>
            </w:pPr>
            <w:r w:rsidRPr="003B1FCE">
              <w:rPr>
                <w:rFonts w:ascii="Arial" w:hAnsi="Arial" w:cs="Arial"/>
                <w:color w:val="000000"/>
                <w:sz w:val="20"/>
                <w:szCs w:val="20"/>
              </w:rPr>
              <w:t>Delegación Benito Juárez</w:t>
            </w:r>
          </w:p>
        </w:tc>
        <w:tc>
          <w:tcPr>
            <w:tcW w:w="1559"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49.18</w:t>
            </w:r>
          </w:p>
        </w:tc>
        <w:tc>
          <w:tcPr>
            <w:tcW w:w="1703"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98.64</w:t>
            </w:r>
          </w:p>
        </w:tc>
        <w:tc>
          <w:tcPr>
            <w:tcW w:w="990"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49.46</w:t>
            </w:r>
          </w:p>
        </w:tc>
      </w:tr>
      <w:tr w:rsidR="004D62A7" w:rsidRPr="003B1FCE" w:rsidTr="004D62A7">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7</w:t>
            </w:r>
          </w:p>
        </w:tc>
        <w:tc>
          <w:tcPr>
            <w:tcW w:w="4352"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rPr>
                <w:rFonts w:ascii="Arial" w:hAnsi="Arial" w:cs="Arial"/>
                <w:color w:val="000000"/>
                <w:sz w:val="20"/>
                <w:szCs w:val="20"/>
              </w:rPr>
            </w:pPr>
            <w:r w:rsidRPr="003B1FCE">
              <w:rPr>
                <w:rFonts w:ascii="Arial" w:hAnsi="Arial" w:cs="Arial"/>
                <w:color w:val="000000"/>
                <w:sz w:val="20"/>
                <w:szCs w:val="20"/>
              </w:rPr>
              <w:t>Delegación Azcapotzalco</w:t>
            </w:r>
          </w:p>
        </w:tc>
        <w:tc>
          <w:tcPr>
            <w:tcW w:w="1559"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50.73</w:t>
            </w:r>
          </w:p>
        </w:tc>
        <w:tc>
          <w:tcPr>
            <w:tcW w:w="1703"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97.97</w:t>
            </w:r>
          </w:p>
        </w:tc>
        <w:tc>
          <w:tcPr>
            <w:tcW w:w="990"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47.23</w:t>
            </w:r>
          </w:p>
        </w:tc>
      </w:tr>
      <w:tr w:rsidR="004D62A7" w:rsidRPr="003B1FCE" w:rsidTr="004D62A7">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8</w:t>
            </w:r>
          </w:p>
        </w:tc>
        <w:tc>
          <w:tcPr>
            <w:tcW w:w="4352"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rPr>
                <w:rFonts w:ascii="Arial" w:hAnsi="Arial" w:cs="Arial"/>
                <w:color w:val="000000"/>
                <w:sz w:val="20"/>
                <w:szCs w:val="20"/>
              </w:rPr>
            </w:pPr>
            <w:r w:rsidRPr="003B1FCE">
              <w:rPr>
                <w:rFonts w:ascii="Arial" w:hAnsi="Arial" w:cs="Arial"/>
                <w:color w:val="000000"/>
                <w:sz w:val="20"/>
                <w:szCs w:val="20"/>
              </w:rPr>
              <w:t>Delegación Tlalpan</w:t>
            </w:r>
          </w:p>
        </w:tc>
        <w:tc>
          <w:tcPr>
            <w:tcW w:w="1559"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66.92</w:t>
            </w:r>
          </w:p>
        </w:tc>
        <w:tc>
          <w:tcPr>
            <w:tcW w:w="1703"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93.37</w:t>
            </w:r>
          </w:p>
        </w:tc>
        <w:tc>
          <w:tcPr>
            <w:tcW w:w="990"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26.44</w:t>
            </w:r>
          </w:p>
        </w:tc>
      </w:tr>
      <w:tr w:rsidR="004D62A7" w:rsidRPr="003B1FCE" w:rsidTr="004D62A7">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9</w:t>
            </w:r>
          </w:p>
        </w:tc>
        <w:tc>
          <w:tcPr>
            <w:tcW w:w="4352"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rPr>
                <w:rFonts w:ascii="Arial" w:hAnsi="Arial" w:cs="Arial"/>
                <w:color w:val="000000"/>
                <w:sz w:val="20"/>
                <w:szCs w:val="20"/>
              </w:rPr>
            </w:pPr>
            <w:r w:rsidRPr="003B1FCE">
              <w:rPr>
                <w:rFonts w:ascii="Arial" w:hAnsi="Arial" w:cs="Arial"/>
                <w:color w:val="000000"/>
                <w:sz w:val="20"/>
                <w:szCs w:val="20"/>
              </w:rPr>
              <w:t>Delegación La Magdalena Contreras</w:t>
            </w:r>
          </w:p>
        </w:tc>
        <w:tc>
          <w:tcPr>
            <w:tcW w:w="1559"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75.94</w:t>
            </w:r>
          </w:p>
        </w:tc>
        <w:tc>
          <w:tcPr>
            <w:tcW w:w="1703"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91.85</w:t>
            </w:r>
          </w:p>
        </w:tc>
        <w:tc>
          <w:tcPr>
            <w:tcW w:w="990"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15.91</w:t>
            </w:r>
          </w:p>
        </w:tc>
      </w:tr>
      <w:tr w:rsidR="004D62A7" w:rsidRPr="003B1FCE" w:rsidTr="004D62A7">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10</w:t>
            </w:r>
          </w:p>
        </w:tc>
        <w:tc>
          <w:tcPr>
            <w:tcW w:w="4352"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rPr>
                <w:rFonts w:ascii="Arial" w:hAnsi="Arial" w:cs="Arial"/>
                <w:color w:val="000000"/>
                <w:sz w:val="20"/>
                <w:szCs w:val="20"/>
              </w:rPr>
            </w:pPr>
            <w:r w:rsidRPr="003B1FCE">
              <w:rPr>
                <w:rFonts w:ascii="Arial" w:hAnsi="Arial" w:cs="Arial"/>
                <w:color w:val="000000"/>
                <w:sz w:val="20"/>
                <w:szCs w:val="20"/>
              </w:rPr>
              <w:t>Delegación Gustavo A. Madero</w:t>
            </w:r>
          </w:p>
        </w:tc>
        <w:tc>
          <w:tcPr>
            <w:tcW w:w="1559"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74.33</w:t>
            </w:r>
          </w:p>
        </w:tc>
        <w:tc>
          <w:tcPr>
            <w:tcW w:w="1703"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90.45</w:t>
            </w:r>
          </w:p>
        </w:tc>
        <w:tc>
          <w:tcPr>
            <w:tcW w:w="990"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16.12</w:t>
            </w:r>
          </w:p>
        </w:tc>
      </w:tr>
      <w:tr w:rsidR="004D62A7" w:rsidRPr="003B1FCE" w:rsidTr="004D62A7">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11</w:t>
            </w:r>
          </w:p>
        </w:tc>
        <w:tc>
          <w:tcPr>
            <w:tcW w:w="4352"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rPr>
                <w:rFonts w:ascii="Arial" w:hAnsi="Arial" w:cs="Arial"/>
                <w:color w:val="000000"/>
                <w:sz w:val="20"/>
                <w:szCs w:val="20"/>
              </w:rPr>
            </w:pPr>
            <w:r w:rsidRPr="003B1FCE">
              <w:rPr>
                <w:rFonts w:ascii="Arial" w:hAnsi="Arial" w:cs="Arial"/>
                <w:color w:val="000000"/>
                <w:sz w:val="20"/>
                <w:szCs w:val="20"/>
              </w:rPr>
              <w:t>Delegación Álvaro Obregón</w:t>
            </w:r>
          </w:p>
        </w:tc>
        <w:tc>
          <w:tcPr>
            <w:tcW w:w="1559"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79.79</w:t>
            </w:r>
          </w:p>
        </w:tc>
        <w:tc>
          <w:tcPr>
            <w:tcW w:w="1703"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88.83</w:t>
            </w:r>
          </w:p>
        </w:tc>
        <w:tc>
          <w:tcPr>
            <w:tcW w:w="990"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9.04</w:t>
            </w:r>
          </w:p>
        </w:tc>
      </w:tr>
      <w:tr w:rsidR="004D62A7" w:rsidRPr="003B1FCE" w:rsidTr="004D62A7">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12</w:t>
            </w:r>
          </w:p>
        </w:tc>
        <w:tc>
          <w:tcPr>
            <w:tcW w:w="4352"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rPr>
                <w:rFonts w:ascii="Arial" w:hAnsi="Arial" w:cs="Arial"/>
                <w:color w:val="000000"/>
                <w:sz w:val="20"/>
                <w:szCs w:val="20"/>
              </w:rPr>
            </w:pPr>
            <w:r w:rsidRPr="003B1FCE">
              <w:rPr>
                <w:rFonts w:ascii="Arial" w:hAnsi="Arial" w:cs="Arial"/>
                <w:color w:val="000000"/>
                <w:sz w:val="20"/>
                <w:szCs w:val="20"/>
              </w:rPr>
              <w:t>Delegación Milpa Alta</w:t>
            </w:r>
          </w:p>
        </w:tc>
        <w:tc>
          <w:tcPr>
            <w:tcW w:w="1559"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72.90</w:t>
            </w:r>
          </w:p>
        </w:tc>
        <w:tc>
          <w:tcPr>
            <w:tcW w:w="1703"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86.67</w:t>
            </w:r>
          </w:p>
        </w:tc>
        <w:tc>
          <w:tcPr>
            <w:tcW w:w="990"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13.77</w:t>
            </w:r>
          </w:p>
        </w:tc>
      </w:tr>
      <w:tr w:rsidR="004D62A7" w:rsidRPr="003B1FCE" w:rsidTr="004D62A7">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13</w:t>
            </w:r>
          </w:p>
        </w:tc>
        <w:tc>
          <w:tcPr>
            <w:tcW w:w="4352"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rPr>
                <w:rFonts w:ascii="Arial" w:hAnsi="Arial" w:cs="Arial"/>
                <w:color w:val="000000"/>
                <w:sz w:val="20"/>
                <w:szCs w:val="20"/>
              </w:rPr>
            </w:pPr>
            <w:r w:rsidRPr="003B1FCE">
              <w:rPr>
                <w:rFonts w:ascii="Arial" w:hAnsi="Arial" w:cs="Arial"/>
                <w:color w:val="000000"/>
                <w:sz w:val="20"/>
                <w:szCs w:val="20"/>
              </w:rPr>
              <w:t>Delegación Miguel Hidalgo</w:t>
            </w:r>
          </w:p>
        </w:tc>
        <w:tc>
          <w:tcPr>
            <w:tcW w:w="1559"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57.04</w:t>
            </w:r>
          </w:p>
        </w:tc>
        <w:tc>
          <w:tcPr>
            <w:tcW w:w="1703"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83.85</w:t>
            </w:r>
          </w:p>
        </w:tc>
        <w:tc>
          <w:tcPr>
            <w:tcW w:w="990"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26.81</w:t>
            </w:r>
          </w:p>
        </w:tc>
      </w:tr>
      <w:tr w:rsidR="004D62A7" w:rsidRPr="003B1FCE" w:rsidTr="004D62A7">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14</w:t>
            </w:r>
          </w:p>
        </w:tc>
        <w:tc>
          <w:tcPr>
            <w:tcW w:w="4352"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rPr>
                <w:rFonts w:ascii="Arial" w:hAnsi="Arial" w:cs="Arial"/>
                <w:color w:val="000000"/>
                <w:sz w:val="20"/>
                <w:szCs w:val="20"/>
              </w:rPr>
            </w:pPr>
            <w:r w:rsidRPr="003B1FCE">
              <w:rPr>
                <w:rFonts w:ascii="Arial" w:hAnsi="Arial" w:cs="Arial"/>
                <w:color w:val="000000"/>
                <w:sz w:val="20"/>
                <w:szCs w:val="20"/>
              </w:rPr>
              <w:t>Delegación Coyoacán</w:t>
            </w:r>
          </w:p>
        </w:tc>
        <w:tc>
          <w:tcPr>
            <w:tcW w:w="1559"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57.77</w:t>
            </w:r>
          </w:p>
        </w:tc>
        <w:tc>
          <w:tcPr>
            <w:tcW w:w="1703"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81.07</w:t>
            </w:r>
          </w:p>
        </w:tc>
        <w:tc>
          <w:tcPr>
            <w:tcW w:w="990"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23.31</w:t>
            </w:r>
          </w:p>
        </w:tc>
      </w:tr>
      <w:tr w:rsidR="004D62A7" w:rsidRPr="003B1FCE" w:rsidTr="004D62A7">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15</w:t>
            </w:r>
          </w:p>
        </w:tc>
        <w:tc>
          <w:tcPr>
            <w:tcW w:w="4352"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rPr>
                <w:rFonts w:ascii="Arial" w:hAnsi="Arial" w:cs="Arial"/>
                <w:color w:val="000000"/>
                <w:sz w:val="20"/>
                <w:szCs w:val="20"/>
              </w:rPr>
            </w:pPr>
            <w:r w:rsidRPr="003B1FCE">
              <w:rPr>
                <w:rFonts w:ascii="Arial" w:hAnsi="Arial" w:cs="Arial"/>
                <w:color w:val="000000"/>
                <w:sz w:val="20"/>
                <w:szCs w:val="20"/>
              </w:rPr>
              <w:t>Delegación Iztacalco</w:t>
            </w:r>
          </w:p>
        </w:tc>
        <w:tc>
          <w:tcPr>
            <w:tcW w:w="1559"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21.41</w:t>
            </w:r>
          </w:p>
        </w:tc>
        <w:tc>
          <w:tcPr>
            <w:tcW w:w="1703"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78.40</w:t>
            </w:r>
          </w:p>
        </w:tc>
        <w:tc>
          <w:tcPr>
            <w:tcW w:w="990"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56.98</w:t>
            </w:r>
          </w:p>
        </w:tc>
      </w:tr>
      <w:tr w:rsidR="004D62A7" w:rsidRPr="003B1FCE" w:rsidTr="004D62A7">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16</w:t>
            </w:r>
          </w:p>
        </w:tc>
        <w:tc>
          <w:tcPr>
            <w:tcW w:w="4352"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rPr>
                <w:rFonts w:ascii="Arial" w:hAnsi="Arial" w:cs="Arial"/>
                <w:color w:val="000000"/>
                <w:sz w:val="20"/>
                <w:szCs w:val="20"/>
              </w:rPr>
            </w:pPr>
            <w:r w:rsidRPr="003B1FCE">
              <w:rPr>
                <w:rFonts w:ascii="Arial" w:hAnsi="Arial" w:cs="Arial"/>
                <w:color w:val="000000"/>
                <w:sz w:val="20"/>
                <w:szCs w:val="20"/>
              </w:rPr>
              <w:t>Delegación Xochimilco</w:t>
            </w:r>
          </w:p>
        </w:tc>
        <w:tc>
          <w:tcPr>
            <w:tcW w:w="1559"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31.48</w:t>
            </w:r>
          </w:p>
        </w:tc>
        <w:tc>
          <w:tcPr>
            <w:tcW w:w="1703"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62.39</w:t>
            </w:r>
          </w:p>
        </w:tc>
        <w:tc>
          <w:tcPr>
            <w:tcW w:w="990" w:type="dxa"/>
            <w:tcBorders>
              <w:top w:val="nil"/>
              <w:left w:val="nil"/>
              <w:bottom w:val="single" w:sz="4" w:space="0" w:color="auto"/>
              <w:right w:val="single" w:sz="4" w:space="0" w:color="auto"/>
            </w:tcBorders>
            <w:shd w:val="clear" w:color="auto" w:fill="auto"/>
            <w:vAlign w:val="center"/>
            <w:hideMark/>
          </w:tcPr>
          <w:p w:rsidR="004D62A7" w:rsidRPr="003B1FCE" w:rsidRDefault="004D62A7" w:rsidP="004D62A7">
            <w:pPr>
              <w:jc w:val="center"/>
              <w:rPr>
                <w:rFonts w:ascii="Arial" w:hAnsi="Arial" w:cs="Arial"/>
                <w:color w:val="000000"/>
                <w:sz w:val="20"/>
                <w:szCs w:val="20"/>
              </w:rPr>
            </w:pPr>
            <w:r w:rsidRPr="003B1FCE">
              <w:rPr>
                <w:rFonts w:ascii="Arial" w:hAnsi="Arial" w:cs="Arial"/>
                <w:color w:val="000000"/>
                <w:sz w:val="20"/>
                <w:szCs w:val="20"/>
              </w:rPr>
              <w:t>30.92</w:t>
            </w:r>
          </w:p>
        </w:tc>
      </w:tr>
    </w:tbl>
    <w:p w:rsidR="00F64E7A" w:rsidRPr="003B1FCE" w:rsidRDefault="00F64E7A" w:rsidP="00F64E7A">
      <w:pPr>
        <w:spacing w:before="100" w:beforeAutospacing="1" w:after="100" w:afterAutospacing="1" w:line="360" w:lineRule="auto"/>
        <w:contextualSpacing/>
        <w:jc w:val="both"/>
        <w:rPr>
          <w:rFonts w:ascii="Arial" w:hAnsi="Arial" w:cs="Arial"/>
        </w:rPr>
      </w:pPr>
    </w:p>
    <w:p w:rsidR="00F64E7A" w:rsidRPr="003B1FCE" w:rsidRDefault="00F64E7A" w:rsidP="00F64E7A">
      <w:pPr>
        <w:spacing w:before="100" w:beforeAutospacing="1" w:after="100" w:afterAutospacing="1" w:line="360" w:lineRule="auto"/>
        <w:jc w:val="both"/>
        <w:rPr>
          <w:rFonts w:ascii="Arial" w:hAnsi="Arial" w:cs="Arial"/>
        </w:rPr>
      </w:pPr>
      <w:r w:rsidRPr="003B1FCE">
        <w:rPr>
          <w:rFonts w:ascii="Arial" w:hAnsi="Arial" w:cs="Arial"/>
        </w:rPr>
        <w:t xml:space="preserve">Con relación a las recomendaciones y observaciones emitidas al </w:t>
      </w:r>
      <w:r w:rsidR="004D62A7" w:rsidRPr="003B1FCE">
        <w:rPr>
          <w:rFonts w:ascii="Arial" w:hAnsi="Arial" w:cs="Arial"/>
        </w:rPr>
        <w:t>Poder Ejecutivo – Demarcaciones Territoriales</w:t>
      </w:r>
      <w:r w:rsidRPr="003B1FCE">
        <w:rPr>
          <w:rFonts w:ascii="Arial" w:hAnsi="Arial" w:cs="Arial"/>
        </w:rPr>
        <w:t xml:space="preserve">, </w:t>
      </w:r>
      <w:r w:rsidR="00D23BCA" w:rsidRPr="003B1FCE">
        <w:rPr>
          <w:rFonts w:ascii="Arial" w:hAnsi="Arial" w:cs="Arial"/>
        </w:rPr>
        <w:t>todos los</w:t>
      </w:r>
      <w:r w:rsidRPr="003B1FCE">
        <w:rPr>
          <w:rFonts w:ascii="Arial" w:hAnsi="Arial" w:cs="Arial"/>
        </w:rPr>
        <w:t xml:space="preserve"> sujetos obligados que integran el ámbito atendieron las mismas; sin embargo, </w:t>
      </w:r>
      <w:r w:rsidR="00D23BCA" w:rsidRPr="003B1FCE">
        <w:rPr>
          <w:rFonts w:ascii="Arial" w:hAnsi="Arial" w:cs="Arial"/>
        </w:rPr>
        <w:t xml:space="preserve">únicamente tres </w:t>
      </w:r>
      <w:r w:rsidRPr="003B1FCE">
        <w:rPr>
          <w:rFonts w:ascii="Arial" w:hAnsi="Arial" w:cs="Arial"/>
        </w:rPr>
        <w:t>cumpl</w:t>
      </w:r>
      <w:r w:rsidR="00D23BCA" w:rsidRPr="003B1FCE">
        <w:rPr>
          <w:rFonts w:ascii="Arial" w:hAnsi="Arial" w:cs="Arial"/>
        </w:rPr>
        <w:t xml:space="preserve">ieron </w:t>
      </w:r>
      <w:r w:rsidRPr="003B1FCE">
        <w:rPr>
          <w:rFonts w:ascii="Arial" w:hAnsi="Arial" w:cs="Arial"/>
        </w:rPr>
        <w:t xml:space="preserve">con la totalidad de </w:t>
      </w:r>
      <w:r w:rsidRPr="003B1FCE">
        <w:rPr>
          <w:rFonts w:ascii="Arial" w:hAnsi="Arial" w:cs="Arial"/>
        </w:rPr>
        <w:lastRenderedPageBreak/>
        <w:t xml:space="preserve">las recomendaciones, alcanzando un IGOT de 100%; mientras que el </w:t>
      </w:r>
      <w:r w:rsidR="00D23BCA" w:rsidRPr="003B1FCE">
        <w:rPr>
          <w:rFonts w:ascii="Arial" w:hAnsi="Arial" w:cs="Arial"/>
        </w:rPr>
        <w:t>13</w:t>
      </w:r>
      <w:r w:rsidRPr="003B1FCE">
        <w:rPr>
          <w:rFonts w:ascii="Arial" w:hAnsi="Arial" w:cs="Arial"/>
        </w:rPr>
        <w:t xml:space="preserve"> continúa presentando áreas oportunidad</w:t>
      </w:r>
      <w:r w:rsidR="00D23BCA" w:rsidRPr="003B1FCE">
        <w:rPr>
          <w:rFonts w:ascii="Arial" w:hAnsi="Arial" w:cs="Arial"/>
        </w:rPr>
        <w:t>.</w:t>
      </w:r>
    </w:p>
    <w:p w:rsidR="00F64E7A" w:rsidRPr="003B1FCE" w:rsidRDefault="00D23BCA" w:rsidP="00D23BCA">
      <w:pPr>
        <w:spacing w:before="100" w:beforeAutospacing="1" w:after="100" w:afterAutospacing="1" w:line="360" w:lineRule="auto"/>
        <w:jc w:val="both"/>
        <w:rPr>
          <w:rFonts w:ascii="Arial" w:hAnsi="Arial" w:cs="Arial"/>
        </w:rPr>
      </w:pPr>
      <w:r w:rsidRPr="003B1FCE">
        <w:rPr>
          <w:rFonts w:ascii="Arial" w:hAnsi="Arial" w:cs="Arial"/>
        </w:rPr>
        <w:t>Es importante destacar que siete demarcaciones pasar</w:t>
      </w:r>
      <w:r w:rsidR="00900995" w:rsidRPr="003B1FCE">
        <w:rPr>
          <w:rFonts w:ascii="Arial" w:hAnsi="Arial" w:cs="Arial"/>
        </w:rPr>
        <w:t>on</w:t>
      </w:r>
      <w:r w:rsidRPr="003B1FCE">
        <w:rPr>
          <w:rFonts w:ascii="Arial" w:hAnsi="Arial" w:cs="Arial"/>
        </w:rPr>
        <w:t xml:space="preserve"> de estar en un incumplimiento parcial a un cumplimiento parcial; asimismo, siete tienen un IGOT superior al 90% e inferior al 100%, cuatro presentan un IGOT entre 80% y 90%, y dos sujetos un IGOT entre 60% y 80%. L</w:t>
      </w:r>
      <w:r w:rsidR="00F64E7A" w:rsidRPr="003B1FCE">
        <w:rPr>
          <w:rFonts w:ascii="Arial" w:hAnsi="Arial" w:cs="Arial"/>
        </w:rPr>
        <w:t xml:space="preserve">os sujetos de este ámbito tuvieron una mejoría promedio en su índice de </w:t>
      </w:r>
      <w:r w:rsidRPr="003B1FCE">
        <w:rPr>
          <w:rFonts w:ascii="Arial" w:hAnsi="Arial" w:cs="Arial"/>
        </w:rPr>
        <w:t>27.77</w:t>
      </w:r>
      <w:r w:rsidR="00F64E7A" w:rsidRPr="003B1FCE">
        <w:rPr>
          <w:rFonts w:ascii="Arial" w:hAnsi="Arial" w:cs="Arial"/>
        </w:rPr>
        <w:t>%</w:t>
      </w:r>
      <w:r w:rsidRPr="003B1FCE">
        <w:rPr>
          <w:rFonts w:ascii="Arial" w:hAnsi="Arial" w:cs="Arial"/>
        </w:rPr>
        <w:t>.</w:t>
      </w:r>
    </w:p>
    <w:p w:rsidR="00071E52" w:rsidRPr="003B1FCE" w:rsidRDefault="00071E52" w:rsidP="00FF7BD9">
      <w:pPr>
        <w:pStyle w:val="Ttulo1"/>
        <w:contextualSpacing/>
        <w:rPr>
          <w:rFonts w:ascii="Arial" w:hAnsi="Arial" w:cs="Arial"/>
          <w:b/>
          <w:color w:val="auto"/>
          <w:sz w:val="24"/>
          <w:szCs w:val="24"/>
        </w:rPr>
      </w:pPr>
      <w:bookmarkStart w:id="19" w:name="_Toc26913258"/>
      <w:r w:rsidRPr="003B1FCE">
        <w:rPr>
          <w:rFonts w:ascii="Arial" w:hAnsi="Arial" w:cs="Arial"/>
          <w:b/>
          <w:color w:val="auto"/>
          <w:sz w:val="24"/>
          <w:szCs w:val="24"/>
        </w:rPr>
        <w:t>PODER LEGISLATIVO</w:t>
      </w:r>
      <w:bookmarkEnd w:id="19"/>
    </w:p>
    <w:p w:rsidR="00071E52" w:rsidRPr="003B1FCE" w:rsidRDefault="00071E52" w:rsidP="00071E52">
      <w:pPr>
        <w:contextualSpacing/>
        <w:rPr>
          <w:rFonts w:ascii="Arial" w:hAnsi="Arial" w:cs="Arial"/>
        </w:rPr>
      </w:pPr>
    </w:p>
    <w:p w:rsidR="00071E52" w:rsidRPr="003B1FCE" w:rsidRDefault="00071E52" w:rsidP="00071E52">
      <w:pPr>
        <w:spacing w:before="100" w:beforeAutospacing="1" w:after="100" w:afterAutospacing="1" w:line="360" w:lineRule="auto"/>
        <w:contextualSpacing/>
        <w:jc w:val="both"/>
        <w:rPr>
          <w:rFonts w:ascii="Arial" w:hAnsi="Arial" w:cs="Arial"/>
        </w:rPr>
      </w:pPr>
      <w:r w:rsidRPr="003B1FCE">
        <w:rPr>
          <w:rFonts w:ascii="Arial" w:hAnsi="Arial" w:cs="Arial"/>
        </w:rPr>
        <w:t>El ámbito del Poder Legislativo está integrado por dos sujetos obligados, de conformidad con el Padrón de sujetos obligados supeditados al cumplimiento de la Ley de Transparencia, Acceso a la Información Pública y Rendición de Cuentas de la Ciudad de México</w:t>
      </w:r>
      <w:r w:rsidRPr="003B1FCE" w:rsidDel="005B5D1B">
        <w:rPr>
          <w:rFonts w:ascii="Arial" w:hAnsi="Arial" w:cs="Arial"/>
        </w:rPr>
        <w:t xml:space="preserve"> </w:t>
      </w:r>
      <w:r w:rsidRPr="003B1FCE">
        <w:rPr>
          <w:rFonts w:ascii="Arial" w:hAnsi="Arial" w:cs="Arial"/>
        </w:rPr>
        <w:t xml:space="preserve">y de la Ley de Protección de Datos Personales en Posesión de los sujetos obligados de la Ciudad de México vigente al 31 de diciembre </w:t>
      </w:r>
      <w:r w:rsidR="004903C6" w:rsidRPr="003B1FCE">
        <w:rPr>
          <w:rFonts w:ascii="Arial" w:hAnsi="Arial" w:cs="Arial"/>
        </w:rPr>
        <w:t>d</w:t>
      </w:r>
      <w:r w:rsidRPr="003B1FCE">
        <w:rPr>
          <w:rFonts w:ascii="Arial" w:hAnsi="Arial" w:cs="Arial"/>
        </w:rPr>
        <w:t>e 2018. La totalidad de sujetos de este ámbito fueron evaluados debido a que ninguno alcanzó e</w:t>
      </w:r>
      <w:r w:rsidR="004903C6" w:rsidRPr="003B1FCE">
        <w:rPr>
          <w:rFonts w:ascii="Arial" w:hAnsi="Arial" w:cs="Arial"/>
        </w:rPr>
        <w:t>l</w:t>
      </w:r>
      <w:r w:rsidRPr="003B1FCE">
        <w:rPr>
          <w:rFonts w:ascii="Arial" w:hAnsi="Arial" w:cs="Arial"/>
        </w:rPr>
        <w:t xml:space="preserve"> cumplimiento total de sus obligaciones de transparencia en la Primera Evaluación Vinculante 2019. </w:t>
      </w:r>
    </w:p>
    <w:p w:rsidR="00071E52" w:rsidRPr="003B1FCE" w:rsidRDefault="00071E52" w:rsidP="00071E52">
      <w:pPr>
        <w:spacing w:before="100" w:beforeAutospacing="1" w:after="100" w:afterAutospacing="1" w:line="360" w:lineRule="auto"/>
        <w:contextualSpacing/>
        <w:jc w:val="both"/>
        <w:rPr>
          <w:rFonts w:ascii="Arial" w:hAnsi="Arial" w:cs="Arial"/>
        </w:rPr>
      </w:pPr>
    </w:p>
    <w:p w:rsidR="00071E52" w:rsidRPr="003B1FCE" w:rsidRDefault="00071E52" w:rsidP="00071E52">
      <w:pPr>
        <w:spacing w:before="100" w:beforeAutospacing="1" w:after="100" w:afterAutospacing="1" w:line="360" w:lineRule="auto"/>
        <w:contextualSpacing/>
        <w:jc w:val="both"/>
        <w:rPr>
          <w:rFonts w:ascii="Arial" w:hAnsi="Arial" w:cs="Arial"/>
        </w:rPr>
      </w:pPr>
      <w:r w:rsidRPr="003B1FCE">
        <w:rPr>
          <w:rFonts w:ascii="Arial" w:hAnsi="Arial" w:cs="Arial"/>
        </w:rPr>
        <w:t xml:space="preserve">Los sujetos obligados, así como su Índice de Cumplimiento de obligaciones de transparencia del Portal de Internet (IGOT-PI), el de la Plataforma Nacional de Transparencia (IGOT-PNT) y el Índice General de Cumplimiento de obligaciones de transparencia (IGOT) se presentan en la siguiente tabla, ordenados de forma descendente, respecto del IGOT: </w:t>
      </w:r>
    </w:p>
    <w:p w:rsidR="00071E52" w:rsidRPr="003B1FCE" w:rsidRDefault="00071E52" w:rsidP="00071E52">
      <w:pPr>
        <w:spacing w:before="100" w:beforeAutospacing="1" w:after="100" w:afterAutospacing="1" w:line="360" w:lineRule="auto"/>
        <w:contextualSpacing/>
        <w:jc w:val="both"/>
        <w:rPr>
          <w:rFonts w:ascii="Arial" w:hAnsi="Arial" w:cs="Arial"/>
        </w:rPr>
      </w:pPr>
    </w:p>
    <w:tbl>
      <w:tblPr>
        <w:tblW w:w="8926" w:type="dxa"/>
        <w:tblCellMar>
          <w:left w:w="70" w:type="dxa"/>
          <w:right w:w="70" w:type="dxa"/>
        </w:tblCellMar>
        <w:tblLook w:val="04A0" w:firstRow="1" w:lastRow="0" w:firstColumn="1" w:lastColumn="0" w:noHBand="0" w:noVBand="1"/>
      </w:tblPr>
      <w:tblGrid>
        <w:gridCol w:w="529"/>
        <w:gridCol w:w="5136"/>
        <w:gridCol w:w="1123"/>
        <w:gridCol w:w="1263"/>
        <w:gridCol w:w="875"/>
      </w:tblGrid>
      <w:tr w:rsidR="00071E52" w:rsidRPr="003B1FCE" w:rsidTr="00B018FB">
        <w:trPr>
          <w:trHeight w:val="860"/>
          <w:tblHeader/>
        </w:trPr>
        <w:tc>
          <w:tcPr>
            <w:tcW w:w="8926" w:type="dxa"/>
            <w:gridSpan w:val="5"/>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071E52" w:rsidRPr="003B1FCE" w:rsidRDefault="00071E52" w:rsidP="00071E52">
            <w:pPr>
              <w:jc w:val="center"/>
              <w:rPr>
                <w:rFonts w:ascii="Arial" w:hAnsi="Arial" w:cs="Arial"/>
                <w:b/>
                <w:bCs/>
                <w:color w:val="000000"/>
                <w:sz w:val="20"/>
                <w:szCs w:val="20"/>
              </w:rPr>
            </w:pPr>
            <w:r w:rsidRPr="003B1FCE">
              <w:rPr>
                <w:rFonts w:ascii="Arial" w:hAnsi="Arial" w:cs="Arial"/>
                <w:b/>
                <w:bCs/>
                <w:color w:val="000000"/>
                <w:sz w:val="20"/>
                <w:szCs w:val="20"/>
              </w:rPr>
              <w:t>Resultados de la Tercera Evaluación Vinculante 2019, respecto de las recomendaciones y observaciones de la Primera Evaluación Vinculante 2019</w:t>
            </w:r>
          </w:p>
        </w:tc>
      </w:tr>
      <w:tr w:rsidR="00071E52" w:rsidRPr="003B1FCE" w:rsidTr="00B018FB">
        <w:trPr>
          <w:trHeight w:val="340"/>
          <w:tblHeader/>
        </w:trPr>
        <w:tc>
          <w:tcPr>
            <w:tcW w:w="529" w:type="dxa"/>
            <w:tcBorders>
              <w:top w:val="nil"/>
              <w:left w:val="single" w:sz="4" w:space="0" w:color="auto"/>
              <w:bottom w:val="single" w:sz="4" w:space="0" w:color="auto"/>
              <w:right w:val="single" w:sz="4" w:space="0" w:color="auto"/>
            </w:tcBorders>
            <w:shd w:val="clear" w:color="auto" w:fill="ED7D31" w:themeFill="accent2"/>
            <w:vAlign w:val="center"/>
            <w:hideMark/>
          </w:tcPr>
          <w:p w:rsidR="00071E52" w:rsidRPr="003B1FCE" w:rsidRDefault="00071E52" w:rsidP="00071E52">
            <w:pPr>
              <w:jc w:val="center"/>
              <w:rPr>
                <w:rFonts w:ascii="Arial" w:hAnsi="Arial" w:cs="Arial"/>
                <w:b/>
                <w:bCs/>
                <w:color w:val="000000"/>
                <w:sz w:val="20"/>
                <w:szCs w:val="20"/>
              </w:rPr>
            </w:pPr>
            <w:r w:rsidRPr="003B1FCE">
              <w:rPr>
                <w:rFonts w:ascii="Arial" w:hAnsi="Arial" w:cs="Arial"/>
                <w:b/>
                <w:bCs/>
                <w:color w:val="000000"/>
                <w:sz w:val="20"/>
                <w:szCs w:val="20"/>
              </w:rPr>
              <w:t>No.</w:t>
            </w:r>
          </w:p>
        </w:tc>
        <w:tc>
          <w:tcPr>
            <w:tcW w:w="5136" w:type="dxa"/>
            <w:tcBorders>
              <w:top w:val="nil"/>
              <w:left w:val="nil"/>
              <w:bottom w:val="single" w:sz="4" w:space="0" w:color="auto"/>
              <w:right w:val="single" w:sz="4" w:space="0" w:color="auto"/>
            </w:tcBorders>
            <w:shd w:val="clear" w:color="auto" w:fill="ED7D31" w:themeFill="accent2"/>
            <w:vAlign w:val="center"/>
            <w:hideMark/>
          </w:tcPr>
          <w:p w:rsidR="00071E52" w:rsidRPr="003B1FCE" w:rsidRDefault="00071E52" w:rsidP="00071E52">
            <w:pPr>
              <w:jc w:val="center"/>
              <w:rPr>
                <w:rFonts w:ascii="Arial" w:hAnsi="Arial" w:cs="Arial"/>
                <w:b/>
                <w:bCs/>
                <w:color w:val="000000"/>
                <w:sz w:val="20"/>
                <w:szCs w:val="20"/>
              </w:rPr>
            </w:pPr>
            <w:r w:rsidRPr="003B1FCE">
              <w:rPr>
                <w:rFonts w:ascii="Arial" w:hAnsi="Arial" w:cs="Arial"/>
                <w:b/>
                <w:bCs/>
                <w:color w:val="000000"/>
                <w:sz w:val="20"/>
                <w:szCs w:val="20"/>
              </w:rPr>
              <w:t>Sujeto obligado</w:t>
            </w:r>
          </w:p>
        </w:tc>
        <w:tc>
          <w:tcPr>
            <w:tcW w:w="1123" w:type="dxa"/>
            <w:tcBorders>
              <w:top w:val="nil"/>
              <w:left w:val="nil"/>
              <w:bottom w:val="single" w:sz="4" w:space="0" w:color="auto"/>
              <w:right w:val="single" w:sz="4" w:space="0" w:color="auto"/>
            </w:tcBorders>
            <w:shd w:val="clear" w:color="auto" w:fill="ED7D31" w:themeFill="accent2"/>
            <w:vAlign w:val="center"/>
            <w:hideMark/>
          </w:tcPr>
          <w:p w:rsidR="00071E52" w:rsidRPr="003B1FCE" w:rsidRDefault="00071E52" w:rsidP="00071E52">
            <w:pPr>
              <w:jc w:val="center"/>
              <w:rPr>
                <w:rFonts w:ascii="Arial" w:hAnsi="Arial" w:cs="Arial"/>
                <w:b/>
                <w:bCs/>
                <w:color w:val="000000"/>
                <w:sz w:val="20"/>
                <w:szCs w:val="20"/>
              </w:rPr>
            </w:pPr>
            <w:r w:rsidRPr="003B1FCE">
              <w:rPr>
                <w:rFonts w:ascii="Arial" w:hAnsi="Arial" w:cs="Arial"/>
                <w:b/>
                <w:bCs/>
                <w:color w:val="000000"/>
                <w:sz w:val="20"/>
                <w:szCs w:val="20"/>
              </w:rPr>
              <w:t>ICOT-PI</w:t>
            </w:r>
          </w:p>
        </w:tc>
        <w:tc>
          <w:tcPr>
            <w:tcW w:w="1263" w:type="dxa"/>
            <w:tcBorders>
              <w:top w:val="nil"/>
              <w:left w:val="nil"/>
              <w:bottom w:val="single" w:sz="4" w:space="0" w:color="auto"/>
              <w:right w:val="single" w:sz="4" w:space="0" w:color="auto"/>
            </w:tcBorders>
            <w:shd w:val="clear" w:color="auto" w:fill="ED7D31" w:themeFill="accent2"/>
            <w:vAlign w:val="center"/>
            <w:hideMark/>
          </w:tcPr>
          <w:p w:rsidR="00071E52" w:rsidRPr="003B1FCE" w:rsidRDefault="00071E52" w:rsidP="00071E52">
            <w:pPr>
              <w:jc w:val="center"/>
              <w:rPr>
                <w:rFonts w:ascii="Arial" w:hAnsi="Arial" w:cs="Arial"/>
                <w:b/>
                <w:bCs/>
                <w:color w:val="000000"/>
                <w:sz w:val="20"/>
                <w:szCs w:val="20"/>
              </w:rPr>
            </w:pPr>
            <w:r w:rsidRPr="003B1FCE">
              <w:rPr>
                <w:rFonts w:ascii="Arial" w:hAnsi="Arial" w:cs="Arial"/>
                <w:b/>
                <w:bCs/>
                <w:color w:val="000000"/>
                <w:sz w:val="20"/>
                <w:szCs w:val="20"/>
              </w:rPr>
              <w:t>ICOT-PNT</w:t>
            </w:r>
          </w:p>
        </w:tc>
        <w:tc>
          <w:tcPr>
            <w:tcW w:w="875" w:type="dxa"/>
            <w:tcBorders>
              <w:top w:val="nil"/>
              <w:left w:val="nil"/>
              <w:bottom w:val="single" w:sz="4" w:space="0" w:color="auto"/>
              <w:right w:val="single" w:sz="4" w:space="0" w:color="auto"/>
            </w:tcBorders>
            <w:shd w:val="clear" w:color="auto" w:fill="ED7D31" w:themeFill="accent2"/>
            <w:vAlign w:val="center"/>
            <w:hideMark/>
          </w:tcPr>
          <w:p w:rsidR="00071E52" w:rsidRPr="003B1FCE" w:rsidRDefault="00071E52" w:rsidP="00071E52">
            <w:pPr>
              <w:jc w:val="center"/>
              <w:rPr>
                <w:rFonts w:ascii="Arial" w:hAnsi="Arial" w:cs="Arial"/>
                <w:b/>
                <w:bCs/>
                <w:color w:val="000000"/>
                <w:sz w:val="20"/>
                <w:szCs w:val="20"/>
              </w:rPr>
            </w:pPr>
            <w:r w:rsidRPr="003B1FCE">
              <w:rPr>
                <w:rFonts w:ascii="Arial" w:hAnsi="Arial" w:cs="Arial"/>
                <w:b/>
                <w:bCs/>
                <w:color w:val="000000"/>
                <w:sz w:val="20"/>
                <w:szCs w:val="20"/>
              </w:rPr>
              <w:t>IGOT</w:t>
            </w:r>
          </w:p>
        </w:tc>
      </w:tr>
      <w:tr w:rsidR="00071E52" w:rsidRPr="003B1FCE" w:rsidTr="00071E52">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071E52" w:rsidRPr="003B1FCE" w:rsidRDefault="00071E52" w:rsidP="00071E52">
            <w:pPr>
              <w:jc w:val="center"/>
              <w:rPr>
                <w:rFonts w:ascii="Arial" w:hAnsi="Arial" w:cs="Arial"/>
                <w:color w:val="000000"/>
                <w:sz w:val="20"/>
                <w:szCs w:val="20"/>
              </w:rPr>
            </w:pPr>
            <w:r w:rsidRPr="003B1FCE">
              <w:rPr>
                <w:rFonts w:ascii="Arial" w:hAnsi="Arial" w:cs="Arial"/>
                <w:color w:val="000000"/>
                <w:sz w:val="20"/>
                <w:szCs w:val="20"/>
              </w:rPr>
              <w:t>1</w:t>
            </w:r>
          </w:p>
        </w:tc>
        <w:tc>
          <w:tcPr>
            <w:tcW w:w="5136" w:type="dxa"/>
            <w:tcBorders>
              <w:top w:val="nil"/>
              <w:left w:val="nil"/>
              <w:bottom w:val="single" w:sz="4" w:space="0" w:color="auto"/>
              <w:right w:val="single" w:sz="4" w:space="0" w:color="auto"/>
            </w:tcBorders>
            <w:shd w:val="clear" w:color="auto" w:fill="auto"/>
            <w:vAlign w:val="center"/>
            <w:hideMark/>
          </w:tcPr>
          <w:p w:rsidR="00071E52" w:rsidRPr="003B1FCE" w:rsidRDefault="00071E52" w:rsidP="00071E52">
            <w:pPr>
              <w:rPr>
                <w:rFonts w:ascii="Arial" w:hAnsi="Arial" w:cs="Arial"/>
                <w:color w:val="000000"/>
                <w:sz w:val="20"/>
                <w:szCs w:val="20"/>
              </w:rPr>
            </w:pPr>
            <w:r w:rsidRPr="003B1FCE">
              <w:rPr>
                <w:rFonts w:ascii="Arial" w:hAnsi="Arial" w:cs="Arial"/>
                <w:color w:val="000000"/>
                <w:sz w:val="20"/>
                <w:szCs w:val="20"/>
              </w:rPr>
              <w:t>Auditoría Superior de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071E52" w:rsidRPr="003B1FCE" w:rsidRDefault="00071E52" w:rsidP="00071E52">
            <w:pPr>
              <w:jc w:val="center"/>
              <w:rPr>
                <w:rFonts w:ascii="Arial" w:hAnsi="Arial" w:cs="Arial"/>
                <w:color w:val="000000"/>
                <w:sz w:val="20"/>
                <w:szCs w:val="20"/>
              </w:rPr>
            </w:pPr>
            <w:r w:rsidRPr="003B1FCE">
              <w:rPr>
                <w:rFonts w:ascii="Arial" w:hAnsi="Arial" w:cs="Arial"/>
                <w:color w:val="000000"/>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071E52" w:rsidRPr="003B1FCE" w:rsidRDefault="00071E52" w:rsidP="00071E52">
            <w:pPr>
              <w:jc w:val="center"/>
              <w:rPr>
                <w:rFonts w:ascii="Arial" w:hAnsi="Arial" w:cs="Arial"/>
                <w:color w:val="000000"/>
                <w:sz w:val="20"/>
                <w:szCs w:val="20"/>
              </w:rPr>
            </w:pPr>
            <w:r w:rsidRPr="003B1FCE">
              <w:rPr>
                <w:rFonts w:ascii="Arial" w:hAnsi="Arial" w:cs="Arial"/>
                <w:color w:val="000000"/>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071E52" w:rsidRPr="003B1FCE" w:rsidRDefault="00071E52" w:rsidP="00071E52">
            <w:pPr>
              <w:jc w:val="center"/>
              <w:rPr>
                <w:rFonts w:ascii="Arial" w:hAnsi="Arial" w:cs="Arial"/>
                <w:color w:val="000000"/>
                <w:sz w:val="20"/>
                <w:szCs w:val="20"/>
              </w:rPr>
            </w:pPr>
            <w:r w:rsidRPr="003B1FCE">
              <w:rPr>
                <w:rFonts w:ascii="Arial" w:hAnsi="Arial" w:cs="Arial"/>
                <w:color w:val="000000"/>
                <w:sz w:val="20"/>
                <w:szCs w:val="20"/>
              </w:rPr>
              <w:t>100.00</w:t>
            </w:r>
          </w:p>
        </w:tc>
      </w:tr>
      <w:tr w:rsidR="00071E52" w:rsidRPr="003B1FCE" w:rsidTr="00071E52">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071E52" w:rsidRPr="003B1FCE" w:rsidRDefault="00071E52" w:rsidP="00071E52">
            <w:pPr>
              <w:jc w:val="center"/>
              <w:rPr>
                <w:rFonts w:ascii="Arial" w:hAnsi="Arial" w:cs="Arial"/>
                <w:color w:val="000000"/>
                <w:sz w:val="20"/>
                <w:szCs w:val="20"/>
              </w:rPr>
            </w:pPr>
            <w:r w:rsidRPr="003B1FCE">
              <w:rPr>
                <w:rFonts w:ascii="Arial" w:hAnsi="Arial" w:cs="Arial"/>
                <w:color w:val="000000"/>
                <w:sz w:val="20"/>
                <w:szCs w:val="20"/>
              </w:rPr>
              <w:lastRenderedPageBreak/>
              <w:t>2</w:t>
            </w:r>
          </w:p>
        </w:tc>
        <w:tc>
          <w:tcPr>
            <w:tcW w:w="5136" w:type="dxa"/>
            <w:tcBorders>
              <w:top w:val="nil"/>
              <w:left w:val="nil"/>
              <w:bottom w:val="single" w:sz="4" w:space="0" w:color="auto"/>
              <w:right w:val="single" w:sz="4" w:space="0" w:color="auto"/>
            </w:tcBorders>
            <w:shd w:val="clear" w:color="auto" w:fill="auto"/>
            <w:vAlign w:val="center"/>
            <w:hideMark/>
          </w:tcPr>
          <w:p w:rsidR="00071E52" w:rsidRPr="003B1FCE" w:rsidRDefault="00071E52" w:rsidP="00071E52">
            <w:pPr>
              <w:rPr>
                <w:rFonts w:ascii="Arial" w:hAnsi="Arial" w:cs="Arial"/>
                <w:color w:val="000000"/>
                <w:sz w:val="20"/>
                <w:szCs w:val="20"/>
              </w:rPr>
            </w:pPr>
            <w:r w:rsidRPr="003B1FCE">
              <w:rPr>
                <w:rFonts w:ascii="Arial" w:hAnsi="Arial" w:cs="Arial"/>
                <w:color w:val="000000"/>
                <w:sz w:val="20"/>
                <w:szCs w:val="20"/>
              </w:rPr>
              <w:t>Asamblea Legislativa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071E52" w:rsidRPr="003B1FCE" w:rsidRDefault="00071E52" w:rsidP="00071E52">
            <w:pPr>
              <w:jc w:val="center"/>
              <w:rPr>
                <w:rFonts w:ascii="Arial" w:hAnsi="Arial" w:cs="Arial"/>
                <w:color w:val="000000"/>
                <w:sz w:val="20"/>
                <w:szCs w:val="20"/>
              </w:rPr>
            </w:pPr>
            <w:r w:rsidRPr="003B1FCE">
              <w:rPr>
                <w:rFonts w:ascii="Arial" w:hAnsi="Arial" w:cs="Arial"/>
                <w:color w:val="000000"/>
                <w:sz w:val="20"/>
                <w:szCs w:val="20"/>
              </w:rPr>
              <w:t>95.94</w:t>
            </w:r>
          </w:p>
        </w:tc>
        <w:tc>
          <w:tcPr>
            <w:tcW w:w="1263" w:type="dxa"/>
            <w:tcBorders>
              <w:top w:val="nil"/>
              <w:left w:val="nil"/>
              <w:bottom w:val="single" w:sz="4" w:space="0" w:color="auto"/>
              <w:right w:val="single" w:sz="4" w:space="0" w:color="auto"/>
            </w:tcBorders>
            <w:shd w:val="clear" w:color="auto" w:fill="auto"/>
            <w:vAlign w:val="center"/>
            <w:hideMark/>
          </w:tcPr>
          <w:p w:rsidR="00071E52" w:rsidRPr="003B1FCE" w:rsidRDefault="00071E52" w:rsidP="00071E52">
            <w:pPr>
              <w:jc w:val="center"/>
              <w:rPr>
                <w:rFonts w:ascii="Arial" w:hAnsi="Arial" w:cs="Arial"/>
                <w:color w:val="000000"/>
                <w:sz w:val="20"/>
                <w:szCs w:val="20"/>
              </w:rPr>
            </w:pPr>
            <w:r w:rsidRPr="003B1FCE">
              <w:rPr>
                <w:rFonts w:ascii="Arial" w:hAnsi="Arial" w:cs="Arial"/>
                <w:color w:val="000000"/>
                <w:sz w:val="20"/>
                <w:szCs w:val="20"/>
              </w:rPr>
              <w:t>96.80</w:t>
            </w:r>
          </w:p>
        </w:tc>
        <w:tc>
          <w:tcPr>
            <w:tcW w:w="875" w:type="dxa"/>
            <w:tcBorders>
              <w:top w:val="nil"/>
              <w:left w:val="nil"/>
              <w:bottom w:val="single" w:sz="4" w:space="0" w:color="auto"/>
              <w:right w:val="single" w:sz="4" w:space="0" w:color="auto"/>
            </w:tcBorders>
            <w:shd w:val="clear" w:color="auto" w:fill="auto"/>
            <w:vAlign w:val="center"/>
            <w:hideMark/>
          </w:tcPr>
          <w:p w:rsidR="00071E52" w:rsidRPr="003B1FCE" w:rsidRDefault="00071E52" w:rsidP="00071E52">
            <w:pPr>
              <w:jc w:val="center"/>
              <w:rPr>
                <w:rFonts w:ascii="Arial" w:hAnsi="Arial" w:cs="Arial"/>
                <w:color w:val="000000"/>
                <w:sz w:val="20"/>
                <w:szCs w:val="20"/>
              </w:rPr>
            </w:pPr>
            <w:r w:rsidRPr="003B1FCE">
              <w:rPr>
                <w:rFonts w:ascii="Arial" w:hAnsi="Arial" w:cs="Arial"/>
                <w:color w:val="000000"/>
                <w:sz w:val="20"/>
                <w:szCs w:val="20"/>
              </w:rPr>
              <w:t>96.37</w:t>
            </w:r>
          </w:p>
        </w:tc>
      </w:tr>
    </w:tbl>
    <w:p w:rsidR="00071E52" w:rsidRPr="003B1FCE" w:rsidRDefault="00071E52" w:rsidP="00071E52">
      <w:pPr>
        <w:spacing w:before="100" w:beforeAutospacing="1" w:after="100" w:afterAutospacing="1" w:line="360" w:lineRule="auto"/>
        <w:contextualSpacing/>
        <w:jc w:val="both"/>
        <w:rPr>
          <w:rFonts w:ascii="Arial" w:hAnsi="Arial" w:cs="Arial"/>
          <w:sz w:val="16"/>
          <w:szCs w:val="16"/>
        </w:rPr>
      </w:pPr>
      <w:r w:rsidRPr="003B1FCE">
        <w:rPr>
          <w:rFonts w:ascii="Arial" w:hAnsi="Arial" w:cs="Arial"/>
          <w:b/>
          <w:sz w:val="16"/>
          <w:szCs w:val="16"/>
        </w:rPr>
        <w:t>Nota metodológica</w:t>
      </w:r>
      <w:r w:rsidRPr="003B1FCE">
        <w:rPr>
          <w:rFonts w:ascii="Arial" w:hAnsi="Arial" w:cs="Arial"/>
          <w:sz w:val="16"/>
          <w:szCs w:val="16"/>
        </w:rPr>
        <w:t xml:space="preserve">: </w:t>
      </w:r>
    </w:p>
    <w:p w:rsidR="00071E52" w:rsidRPr="003B1FCE" w:rsidRDefault="00071E52" w:rsidP="00071E52">
      <w:pPr>
        <w:spacing w:before="100" w:beforeAutospacing="1" w:after="100" w:afterAutospacing="1" w:line="360" w:lineRule="auto"/>
        <w:contextualSpacing/>
        <w:jc w:val="both"/>
        <w:rPr>
          <w:rFonts w:ascii="Arial" w:hAnsi="Arial" w:cs="Arial"/>
          <w:sz w:val="16"/>
          <w:szCs w:val="16"/>
        </w:rPr>
      </w:pPr>
      <w:r w:rsidRPr="003B1FCE">
        <w:rPr>
          <w:rFonts w:ascii="Arial" w:hAnsi="Arial" w:cs="Arial"/>
          <w:sz w:val="16"/>
          <w:szCs w:val="16"/>
        </w:rPr>
        <w:t>El IGOT se compone del promedio de ICOT-PI e ICOT-PNT.</w:t>
      </w:r>
    </w:p>
    <w:p w:rsidR="00071E52" w:rsidRPr="003B1FCE" w:rsidRDefault="00071E52" w:rsidP="00071E52">
      <w:pPr>
        <w:spacing w:before="100" w:beforeAutospacing="1" w:after="100" w:afterAutospacing="1" w:line="360" w:lineRule="auto"/>
        <w:contextualSpacing/>
        <w:jc w:val="both"/>
        <w:rPr>
          <w:rFonts w:ascii="Arial" w:hAnsi="Arial" w:cs="Arial"/>
          <w:color w:val="000000"/>
          <w:sz w:val="16"/>
          <w:szCs w:val="16"/>
        </w:rPr>
      </w:pPr>
      <w:r w:rsidRPr="003B1FCE">
        <w:rPr>
          <w:rFonts w:ascii="Arial" w:hAnsi="Arial" w:cs="Arial"/>
          <w:b/>
          <w:bCs/>
          <w:color w:val="000000"/>
          <w:sz w:val="16"/>
          <w:szCs w:val="16"/>
        </w:rPr>
        <w:t>%</w:t>
      </w:r>
      <w:proofErr w:type="spellStart"/>
      <w:r w:rsidRPr="003B1FCE">
        <w:rPr>
          <w:rFonts w:ascii="Arial" w:hAnsi="Arial" w:cs="Arial"/>
          <w:b/>
          <w:bCs/>
          <w:color w:val="000000"/>
          <w:sz w:val="16"/>
          <w:szCs w:val="16"/>
        </w:rPr>
        <w:t>Inf</w:t>
      </w:r>
      <w:proofErr w:type="spellEnd"/>
      <w:r w:rsidRPr="003B1FCE">
        <w:rPr>
          <w:rFonts w:ascii="Arial" w:hAnsi="Arial" w:cs="Arial"/>
          <w:b/>
          <w:bCs/>
          <w:color w:val="000000"/>
          <w:sz w:val="16"/>
          <w:szCs w:val="16"/>
        </w:rPr>
        <w:t xml:space="preserve"> PI:</w:t>
      </w:r>
      <w:r w:rsidRPr="003B1FCE">
        <w:rPr>
          <w:rFonts w:ascii="Arial" w:hAnsi="Arial" w:cs="Arial"/>
          <w:color w:val="000000"/>
          <w:sz w:val="16"/>
          <w:szCs w:val="16"/>
        </w:rPr>
        <w:t xml:space="preserve"> corresponde al porcentaje del índice que hace referencia a la información que se encuentra publicada y actualizada en el Portal de Internet (PI) del sujeto obligado. </w:t>
      </w:r>
    </w:p>
    <w:p w:rsidR="00071E52" w:rsidRPr="003B1FCE" w:rsidRDefault="00071E52" w:rsidP="00071E52">
      <w:pPr>
        <w:spacing w:before="100" w:beforeAutospacing="1" w:after="100" w:afterAutospacing="1" w:line="360" w:lineRule="auto"/>
        <w:contextualSpacing/>
        <w:jc w:val="both"/>
        <w:rPr>
          <w:rFonts w:ascii="Arial" w:hAnsi="Arial" w:cs="Arial"/>
          <w:color w:val="000000"/>
          <w:sz w:val="16"/>
          <w:szCs w:val="16"/>
        </w:rPr>
      </w:pPr>
      <w:r w:rsidRPr="003B1FCE">
        <w:rPr>
          <w:rFonts w:ascii="Arial" w:hAnsi="Arial" w:cs="Arial"/>
          <w:b/>
          <w:bCs/>
          <w:color w:val="000000"/>
          <w:sz w:val="16"/>
          <w:szCs w:val="16"/>
        </w:rPr>
        <w:t>%</w:t>
      </w:r>
      <w:proofErr w:type="spellStart"/>
      <w:r w:rsidRPr="003B1FCE">
        <w:rPr>
          <w:rFonts w:ascii="Arial" w:hAnsi="Arial" w:cs="Arial"/>
          <w:b/>
          <w:bCs/>
          <w:color w:val="000000"/>
          <w:sz w:val="16"/>
          <w:szCs w:val="16"/>
        </w:rPr>
        <w:t>Inf</w:t>
      </w:r>
      <w:proofErr w:type="spellEnd"/>
      <w:r w:rsidRPr="003B1FCE">
        <w:rPr>
          <w:rFonts w:ascii="Arial" w:hAnsi="Arial" w:cs="Arial"/>
          <w:b/>
          <w:bCs/>
          <w:color w:val="000000"/>
          <w:sz w:val="16"/>
          <w:szCs w:val="16"/>
        </w:rPr>
        <w:t xml:space="preserve"> PNT:</w:t>
      </w:r>
      <w:r w:rsidRPr="003B1FCE">
        <w:rPr>
          <w:rFonts w:ascii="Arial" w:hAnsi="Arial" w:cs="Arial"/>
          <w:color w:val="000000"/>
          <w:sz w:val="16"/>
          <w:szCs w:val="16"/>
        </w:rPr>
        <w:t xml:space="preserve"> corresponde al porcentaje del índice que hace referencia a la información que se encuentra publicada y actualizada en la Plataforma Nacional de Transparencia (PNT) del sujeto obligado.</w:t>
      </w:r>
    </w:p>
    <w:p w:rsidR="00071E52" w:rsidRPr="003B1FCE" w:rsidRDefault="00071E52" w:rsidP="00071E52">
      <w:pPr>
        <w:spacing w:before="100" w:beforeAutospacing="1" w:after="100" w:afterAutospacing="1" w:line="360" w:lineRule="auto"/>
        <w:contextualSpacing/>
        <w:jc w:val="both"/>
        <w:rPr>
          <w:rFonts w:ascii="Arial" w:hAnsi="Arial" w:cs="Arial"/>
          <w:color w:val="000000"/>
          <w:sz w:val="16"/>
          <w:szCs w:val="16"/>
        </w:rPr>
      </w:pPr>
      <w:r w:rsidRPr="003B1FCE">
        <w:rPr>
          <w:rFonts w:ascii="Arial" w:hAnsi="Arial" w:cs="Arial"/>
          <w:b/>
          <w:bCs/>
          <w:color w:val="000000"/>
          <w:sz w:val="16"/>
          <w:szCs w:val="16"/>
        </w:rPr>
        <w:t>%</w:t>
      </w:r>
      <w:proofErr w:type="spellStart"/>
      <w:r w:rsidRPr="003B1FCE">
        <w:rPr>
          <w:rFonts w:ascii="Arial" w:hAnsi="Arial" w:cs="Arial"/>
          <w:b/>
          <w:bCs/>
          <w:color w:val="000000"/>
          <w:sz w:val="16"/>
          <w:szCs w:val="16"/>
        </w:rPr>
        <w:t>Inf</w:t>
      </w:r>
      <w:proofErr w:type="spellEnd"/>
      <w:r w:rsidRPr="003B1FCE">
        <w:rPr>
          <w:rFonts w:ascii="Arial" w:hAnsi="Arial" w:cs="Arial"/>
          <w:b/>
          <w:bCs/>
          <w:color w:val="000000"/>
          <w:sz w:val="16"/>
          <w:szCs w:val="16"/>
        </w:rPr>
        <w:t xml:space="preserve"> IGOT: </w:t>
      </w:r>
      <w:r w:rsidRPr="003B1FCE">
        <w:rPr>
          <w:rFonts w:ascii="Arial" w:hAnsi="Arial" w:cs="Arial"/>
          <w:color w:val="000000"/>
          <w:sz w:val="16"/>
          <w:szCs w:val="16"/>
        </w:rPr>
        <w:t>corresponde al porcentaje del índice que hace referencia a la información que se encuentra publicada y actualizada tanto en la PNT y el PI del sujeto obligado.</w:t>
      </w:r>
    </w:p>
    <w:p w:rsidR="00071E52" w:rsidRPr="003B1FCE" w:rsidRDefault="00071E52" w:rsidP="00071E52">
      <w:pPr>
        <w:spacing w:before="100" w:beforeAutospacing="1" w:after="100" w:afterAutospacing="1" w:line="360" w:lineRule="auto"/>
        <w:contextualSpacing/>
        <w:jc w:val="both"/>
        <w:rPr>
          <w:rFonts w:ascii="Arial" w:hAnsi="Arial" w:cs="Arial"/>
          <w:color w:val="000000"/>
        </w:rPr>
      </w:pPr>
    </w:p>
    <w:p w:rsidR="00071E52" w:rsidRPr="003B1FCE" w:rsidRDefault="00071E52" w:rsidP="00071E52">
      <w:pPr>
        <w:spacing w:before="100" w:beforeAutospacing="1" w:after="100" w:afterAutospacing="1" w:line="360" w:lineRule="auto"/>
        <w:contextualSpacing/>
        <w:jc w:val="both"/>
        <w:rPr>
          <w:rFonts w:ascii="Arial" w:hAnsi="Arial" w:cs="Arial"/>
          <w:color w:val="000000"/>
        </w:rPr>
      </w:pPr>
      <w:r w:rsidRPr="003B1FCE">
        <w:rPr>
          <w:rFonts w:ascii="Arial" w:hAnsi="Arial" w:cs="Arial"/>
        </w:rPr>
        <w:t xml:space="preserve">En atención a la Tabla de Aplicabilidad realizada por la DEAEE del Instituto, las obligaciones </w:t>
      </w:r>
      <w:r w:rsidR="00974CBA" w:rsidRPr="003B1FCE">
        <w:rPr>
          <w:rFonts w:ascii="Arial" w:hAnsi="Arial" w:cs="Arial"/>
        </w:rPr>
        <w:t>que el Poder Legislativo</w:t>
      </w:r>
      <w:r w:rsidRPr="003B1FCE">
        <w:rPr>
          <w:rFonts w:ascii="Arial" w:hAnsi="Arial" w:cs="Arial"/>
        </w:rPr>
        <w:t xml:space="preserve"> debe actualizar y publicar en el SIPOT de la PNT, así como en sus respectivos portales de internet son las contempladas en los siguientes artículos: </w:t>
      </w:r>
    </w:p>
    <w:p w:rsidR="00071E52" w:rsidRPr="003B1FCE" w:rsidRDefault="00071E52" w:rsidP="00F04A2C">
      <w:pPr>
        <w:pStyle w:val="Prrafodelista"/>
        <w:numPr>
          <w:ilvl w:val="0"/>
          <w:numId w:val="8"/>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121. Obligaciones comunes, </w:t>
      </w:r>
    </w:p>
    <w:p w:rsidR="00071E52" w:rsidRPr="003B1FCE" w:rsidRDefault="00071E52" w:rsidP="00F04A2C">
      <w:pPr>
        <w:pStyle w:val="Prrafodelista"/>
        <w:numPr>
          <w:ilvl w:val="0"/>
          <w:numId w:val="8"/>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125. Obligaciones Específicas del Poder Legislativo, </w:t>
      </w:r>
    </w:p>
    <w:p w:rsidR="00071E52" w:rsidRPr="003B1FCE" w:rsidRDefault="00071E52" w:rsidP="00F04A2C">
      <w:pPr>
        <w:pStyle w:val="Prrafodelista"/>
        <w:numPr>
          <w:ilvl w:val="0"/>
          <w:numId w:val="8"/>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Artículo 1</w:t>
      </w:r>
      <w:r w:rsidR="00E55AB5" w:rsidRPr="003B1FCE">
        <w:rPr>
          <w:rFonts w:ascii="Arial" w:hAnsi="Arial" w:cs="Arial"/>
          <w:sz w:val="24"/>
          <w:szCs w:val="24"/>
        </w:rPr>
        <w:t>2</w:t>
      </w:r>
      <w:r w:rsidRPr="003B1FCE">
        <w:rPr>
          <w:rFonts w:ascii="Arial" w:hAnsi="Arial" w:cs="Arial"/>
          <w:sz w:val="24"/>
          <w:szCs w:val="24"/>
        </w:rPr>
        <w:t>7. Obligaciones Específicas de la Auditoría Superior de la Ciudad de México,</w:t>
      </w:r>
    </w:p>
    <w:p w:rsidR="00071E52" w:rsidRPr="003B1FCE" w:rsidRDefault="00071E52" w:rsidP="00F04A2C">
      <w:pPr>
        <w:pStyle w:val="Prrafodelista"/>
        <w:numPr>
          <w:ilvl w:val="0"/>
          <w:numId w:val="8"/>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Artículo 143. Disposiciones Particulares,</w:t>
      </w:r>
    </w:p>
    <w:p w:rsidR="00071E52" w:rsidRPr="003B1FCE" w:rsidRDefault="00071E52" w:rsidP="00F04A2C">
      <w:pPr>
        <w:pStyle w:val="Prrafodelista"/>
        <w:numPr>
          <w:ilvl w:val="0"/>
          <w:numId w:val="8"/>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145. Disposiciones Particulares, </w:t>
      </w:r>
    </w:p>
    <w:p w:rsidR="00071E52" w:rsidRPr="003B1FCE" w:rsidRDefault="00071E52" w:rsidP="00F04A2C">
      <w:pPr>
        <w:pStyle w:val="Prrafodelista"/>
        <w:numPr>
          <w:ilvl w:val="0"/>
          <w:numId w:val="8"/>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146. Disposiciones Particulares, </w:t>
      </w:r>
    </w:p>
    <w:p w:rsidR="00071E52" w:rsidRPr="003B1FCE" w:rsidRDefault="00071E52" w:rsidP="00F04A2C">
      <w:pPr>
        <w:pStyle w:val="Prrafodelista"/>
        <w:numPr>
          <w:ilvl w:val="0"/>
          <w:numId w:val="8"/>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147. Disposiciones Particulares. </w:t>
      </w:r>
    </w:p>
    <w:p w:rsidR="00071E52" w:rsidRPr="003B1FCE" w:rsidRDefault="00071E52" w:rsidP="00FF7BD9">
      <w:pPr>
        <w:pStyle w:val="Ttulo2"/>
        <w:contextualSpacing/>
        <w:jc w:val="both"/>
        <w:rPr>
          <w:rFonts w:ascii="Arial" w:hAnsi="Arial" w:cs="Arial"/>
          <w:b/>
          <w:color w:val="auto"/>
          <w:sz w:val="24"/>
          <w:szCs w:val="24"/>
        </w:rPr>
      </w:pPr>
      <w:bookmarkStart w:id="20" w:name="_Toc26913259"/>
      <w:r w:rsidRPr="003B1FCE">
        <w:rPr>
          <w:rFonts w:ascii="Arial" w:hAnsi="Arial" w:cs="Arial"/>
          <w:b/>
          <w:color w:val="auto"/>
          <w:sz w:val="24"/>
          <w:szCs w:val="24"/>
        </w:rPr>
        <w:t>Análisis global de cumplimiento de</w:t>
      </w:r>
      <w:r w:rsidR="004903C6" w:rsidRPr="003B1FCE">
        <w:rPr>
          <w:rFonts w:ascii="Arial" w:hAnsi="Arial" w:cs="Arial"/>
          <w:b/>
          <w:color w:val="auto"/>
          <w:sz w:val="24"/>
          <w:szCs w:val="24"/>
        </w:rPr>
        <w:t>l Poder Legislativo</w:t>
      </w:r>
      <w:bookmarkEnd w:id="20"/>
    </w:p>
    <w:p w:rsidR="00071E52" w:rsidRPr="003B1FCE" w:rsidRDefault="00071E52" w:rsidP="00071E52">
      <w:pPr>
        <w:rPr>
          <w:rFonts w:ascii="Arial" w:hAnsi="Arial" w:cs="Arial"/>
        </w:rPr>
      </w:pPr>
    </w:p>
    <w:p w:rsidR="00071E52" w:rsidRPr="003B1FCE" w:rsidRDefault="00071E52" w:rsidP="00071E52">
      <w:pPr>
        <w:spacing w:before="100" w:beforeAutospacing="1" w:after="100" w:afterAutospacing="1" w:line="360" w:lineRule="auto"/>
        <w:contextualSpacing/>
        <w:jc w:val="both"/>
        <w:rPr>
          <w:rFonts w:ascii="Arial" w:hAnsi="Arial" w:cs="Arial"/>
          <w:u w:val="single"/>
        </w:rPr>
      </w:pPr>
      <w:r w:rsidRPr="003B1FCE">
        <w:rPr>
          <w:rFonts w:ascii="Arial" w:hAnsi="Arial" w:cs="Arial"/>
          <w:u w:val="single"/>
        </w:rPr>
        <w:t>Índices Globales de Cumplimiento de las obligaciones de transparencia</w:t>
      </w:r>
    </w:p>
    <w:p w:rsidR="00071E52" w:rsidRPr="003B1FCE" w:rsidRDefault="00071E52" w:rsidP="00071E52">
      <w:pPr>
        <w:spacing w:before="100" w:beforeAutospacing="1" w:after="100" w:afterAutospacing="1" w:line="360" w:lineRule="auto"/>
        <w:contextualSpacing/>
        <w:jc w:val="both"/>
        <w:rPr>
          <w:rFonts w:ascii="Arial" w:hAnsi="Arial" w:cs="Arial"/>
        </w:rPr>
      </w:pPr>
    </w:p>
    <w:p w:rsidR="00071E52" w:rsidRPr="003B1FCE" w:rsidRDefault="00071E52" w:rsidP="00071E52">
      <w:pPr>
        <w:spacing w:before="100" w:beforeAutospacing="1" w:after="100" w:afterAutospacing="1" w:line="360" w:lineRule="auto"/>
        <w:contextualSpacing/>
        <w:jc w:val="both"/>
        <w:rPr>
          <w:rFonts w:ascii="Arial" w:hAnsi="Arial" w:cs="Arial"/>
        </w:rPr>
      </w:pPr>
      <w:r w:rsidRPr="003B1FCE">
        <w:rPr>
          <w:rFonts w:ascii="Arial" w:hAnsi="Arial" w:cs="Arial"/>
        </w:rPr>
        <w:t xml:space="preserve">El ámbito del Poder Legislativo obtuvo un IGOT de 98.18%, el cual está compuesto por un índice de 98.39% en lo que corresponde a la Plataforma Nacional de </w:t>
      </w:r>
      <w:r w:rsidRPr="003B1FCE">
        <w:rPr>
          <w:rFonts w:ascii="Arial" w:hAnsi="Arial" w:cs="Arial"/>
        </w:rPr>
        <w:lastRenderedPageBreak/>
        <w:t>Transparencia (PNT) y un índice de 97.96% en lo que se refiere al Portal de Transparencia (PI).</w:t>
      </w:r>
    </w:p>
    <w:p w:rsidR="00071E52" w:rsidRPr="003B1FCE" w:rsidRDefault="00071E52" w:rsidP="00071E52">
      <w:pPr>
        <w:spacing w:before="100" w:beforeAutospacing="1" w:after="100" w:afterAutospacing="1" w:line="360" w:lineRule="auto"/>
        <w:contextualSpacing/>
        <w:jc w:val="both"/>
        <w:rPr>
          <w:rFonts w:ascii="Arial" w:hAnsi="Arial" w:cs="Arial"/>
        </w:rPr>
      </w:pPr>
    </w:p>
    <w:p w:rsidR="00071E52" w:rsidRPr="003B1FCE" w:rsidRDefault="00974CBA" w:rsidP="00071E52">
      <w:pPr>
        <w:spacing w:before="100" w:beforeAutospacing="1" w:after="100" w:afterAutospacing="1" w:line="360" w:lineRule="auto"/>
        <w:contextualSpacing/>
        <w:jc w:val="both"/>
        <w:rPr>
          <w:rFonts w:ascii="Arial" w:hAnsi="Arial" w:cs="Arial"/>
        </w:rPr>
      </w:pPr>
      <w:r w:rsidRPr="003B1FCE">
        <w:rPr>
          <w:rFonts w:ascii="Arial" w:hAnsi="Arial" w:cs="Arial"/>
        </w:rPr>
        <w:t>Ambos sujetos que integran este ámbito atendieron las recomendaciones y observaciones emitidas en la Primera Evaluación Vinculante 2019; no obstante, únicamente la Auditoria atendió a cabalidad las mismas, por lo que logró cumplir con la totalidad de las obligaciones de transparencia</w:t>
      </w:r>
      <w:r w:rsidR="004903C6" w:rsidRPr="003B1FCE">
        <w:rPr>
          <w:rFonts w:ascii="Arial" w:hAnsi="Arial" w:cs="Arial"/>
        </w:rPr>
        <w:t xml:space="preserve">. Por su parte, el </w:t>
      </w:r>
      <w:r w:rsidRPr="003B1FCE">
        <w:rPr>
          <w:rFonts w:ascii="Arial" w:hAnsi="Arial" w:cs="Arial"/>
        </w:rPr>
        <w:t>Congreso de la Ciudad de México continúa presentando áreas de oportunidad, por lo que se sitúa en un cumplimiento parcial, con un IGOT superior al 90%.</w:t>
      </w:r>
      <w:r w:rsidR="00071E52" w:rsidRPr="003B1FCE">
        <w:rPr>
          <w:rFonts w:ascii="Arial" w:hAnsi="Arial" w:cs="Arial"/>
        </w:rPr>
        <w:t xml:space="preserve"> </w:t>
      </w:r>
    </w:p>
    <w:p w:rsidR="00071E52" w:rsidRPr="003B1FCE" w:rsidRDefault="00071E52" w:rsidP="00071E52">
      <w:pPr>
        <w:spacing w:before="100" w:beforeAutospacing="1" w:after="100" w:afterAutospacing="1" w:line="360" w:lineRule="auto"/>
        <w:contextualSpacing/>
        <w:jc w:val="both"/>
        <w:rPr>
          <w:rFonts w:ascii="Arial" w:hAnsi="Arial" w:cs="Arial"/>
        </w:rPr>
      </w:pPr>
    </w:p>
    <w:p w:rsidR="00071E52" w:rsidRPr="003B1FCE" w:rsidRDefault="00071E52" w:rsidP="00071E52">
      <w:pPr>
        <w:spacing w:before="100" w:beforeAutospacing="1" w:after="100" w:afterAutospacing="1" w:line="360" w:lineRule="auto"/>
        <w:contextualSpacing/>
        <w:jc w:val="both"/>
        <w:rPr>
          <w:rFonts w:ascii="Arial" w:hAnsi="Arial" w:cs="Arial"/>
        </w:rPr>
      </w:pPr>
      <w:r w:rsidRPr="003B1FCE">
        <w:rPr>
          <w:rFonts w:ascii="Arial" w:hAnsi="Arial" w:cs="Arial"/>
        </w:rPr>
        <w:t>Con relación a la Primera Evaluación Vinculante 2019, este ámbito tuvo un incremento</w:t>
      </w:r>
      <w:r w:rsidR="00974CBA" w:rsidRPr="003B1FCE">
        <w:rPr>
          <w:rFonts w:ascii="Arial" w:hAnsi="Arial" w:cs="Arial"/>
        </w:rPr>
        <w:t xml:space="preserve"> sustantivo</w:t>
      </w:r>
      <w:r w:rsidRPr="003B1FCE">
        <w:rPr>
          <w:rFonts w:ascii="Arial" w:hAnsi="Arial" w:cs="Arial"/>
        </w:rPr>
        <w:t xml:space="preserve">, puesto que pasó de tener un IGOT de </w:t>
      </w:r>
      <w:r w:rsidR="00974CBA" w:rsidRPr="003B1FCE">
        <w:rPr>
          <w:rFonts w:ascii="Arial" w:hAnsi="Arial" w:cs="Arial"/>
        </w:rPr>
        <w:t>57.96</w:t>
      </w:r>
      <w:r w:rsidRPr="003B1FCE">
        <w:rPr>
          <w:rFonts w:ascii="Arial" w:hAnsi="Arial" w:cs="Arial"/>
        </w:rPr>
        <w:t xml:space="preserve">% a uno de </w:t>
      </w:r>
      <w:r w:rsidR="00974CBA" w:rsidRPr="003B1FCE">
        <w:rPr>
          <w:rFonts w:ascii="Arial" w:hAnsi="Arial" w:cs="Arial"/>
        </w:rPr>
        <w:t>98.18</w:t>
      </w:r>
      <w:r w:rsidRPr="003B1FCE">
        <w:rPr>
          <w:rFonts w:ascii="Arial" w:hAnsi="Arial" w:cs="Arial"/>
        </w:rPr>
        <w:t>%; por lo que</w:t>
      </w:r>
      <w:r w:rsidR="00974CBA" w:rsidRPr="003B1FCE">
        <w:rPr>
          <w:rFonts w:ascii="Arial" w:hAnsi="Arial" w:cs="Arial"/>
        </w:rPr>
        <w:t xml:space="preserve"> pasó de estar situado en un incumplimiento parcial a un</w:t>
      </w:r>
      <w:r w:rsidRPr="003B1FCE">
        <w:rPr>
          <w:rFonts w:ascii="Arial" w:hAnsi="Arial" w:cs="Arial"/>
        </w:rPr>
        <w:t xml:space="preserve"> cumplimiento parcial de las obligaciones de transparencia de la Ley de Transparencia Local. Este ámbito tuvo un incremento de </w:t>
      </w:r>
      <w:r w:rsidR="00974CBA" w:rsidRPr="003B1FCE">
        <w:rPr>
          <w:rFonts w:ascii="Arial" w:hAnsi="Arial" w:cs="Arial"/>
        </w:rPr>
        <w:t>40.22</w:t>
      </w:r>
      <w:r w:rsidRPr="003B1FCE">
        <w:rPr>
          <w:rFonts w:ascii="Arial" w:hAnsi="Arial" w:cs="Arial"/>
        </w:rPr>
        <w:t xml:space="preserve">% dentro de su índice. </w:t>
      </w:r>
    </w:p>
    <w:p w:rsidR="00071E52" w:rsidRPr="003B1FCE" w:rsidRDefault="00071E52" w:rsidP="00071E52">
      <w:pPr>
        <w:spacing w:before="100" w:beforeAutospacing="1" w:after="100" w:afterAutospacing="1" w:line="360" w:lineRule="auto"/>
        <w:contextualSpacing/>
        <w:jc w:val="both"/>
        <w:rPr>
          <w:rFonts w:ascii="Arial" w:hAnsi="Arial" w:cs="Arial"/>
        </w:rPr>
      </w:pPr>
    </w:p>
    <w:p w:rsidR="00071E52" w:rsidRPr="003B1FCE" w:rsidRDefault="00071E52" w:rsidP="00071E52">
      <w:pPr>
        <w:spacing w:before="100" w:beforeAutospacing="1" w:after="100" w:afterAutospacing="1" w:line="360" w:lineRule="auto"/>
        <w:contextualSpacing/>
        <w:jc w:val="both"/>
        <w:rPr>
          <w:rFonts w:ascii="Arial" w:hAnsi="Arial" w:cs="Arial"/>
          <w:u w:val="single"/>
        </w:rPr>
      </w:pPr>
      <w:r w:rsidRPr="003B1FCE">
        <w:rPr>
          <w:rFonts w:ascii="Arial" w:hAnsi="Arial" w:cs="Arial"/>
          <w:u w:val="single"/>
        </w:rPr>
        <w:t xml:space="preserve">Cumplimiento diferenciado por artículos </w:t>
      </w:r>
    </w:p>
    <w:p w:rsidR="00071E52" w:rsidRPr="003B1FCE" w:rsidRDefault="00071E52" w:rsidP="00071E52">
      <w:pPr>
        <w:spacing w:before="100" w:beforeAutospacing="1" w:after="100" w:afterAutospacing="1" w:line="360" w:lineRule="auto"/>
        <w:contextualSpacing/>
        <w:jc w:val="both"/>
        <w:rPr>
          <w:rFonts w:ascii="Arial" w:hAnsi="Arial" w:cs="Arial"/>
          <w:u w:val="single"/>
        </w:rPr>
      </w:pPr>
    </w:p>
    <w:p w:rsidR="00071E52" w:rsidRPr="003B1FCE" w:rsidRDefault="00071E52" w:rsidP="00071E52">
      <w:pPr>
        <w:spacing w:before="100" w:beforeAutospacing="1" w:after="100" w:afterAutospacing="1" w:line="360" w:lineRule="auto"/>
        <w:contextualSpacing/>
        <w:jc w:val="both"/>
        <w:rPr>
          <w:rFonts w:ascii="Arial" w:hAnsi="Arial" w:cs="Arial"/>
        </w:rPr>
      </w:pPr>
      <w:r w:rsidRPr="003B1FCE">
        <w:rPr>
          <w:rFonts w:ascii="Arial" w:hAnsi="Arial" w:cs="Arial"/>
        </w:rPr>
        <w:t xml:space="preserve">Con relación al tipo de obligaciones de transparencia, este ámbito ha cumplido parcialmente con sus obligaciones comunes, específicas y disposiciones particulares, obteniendo un ICP de </w:t>
      </w:r>
      <w:r w:rsidR="00974CBA" w:rsidRPr="003B1FCE">
        <w:rPr>
          <w:rFonts w:ascii="Arial" w:hAnsi="Arial" w:cs="Arial"/>
        </w:rPr>
        <w:t>97.72</w:t>
      </w:r>
      <w:r w:rsidRPr="003B1FCE">
        <w:rPr>
          <w:rFonts w:ascii="Arial" w:hAnsi="Arial" w:cs="Arial"/>
        </w:rPr>
        <w:t>%,</w:t>
      </w:r>
      <w:r w:rsidR="00974CBA" w:rsidRPr="003B1FCE">
        <w:rPr>
          <w:rFonts w:ascii="Arial" w:hAnsi="Arial" w:cs="Arial"/>
        </w:rPr>
        <w:t xml:space="preserve"> 98.44%</w:t>
      </w:r>
      <w:r w:rsidRPr="003B1FCE">
        <w:rPr>
          <w:rFonts w:ascii="Arial" w:hAnsi="Arial" w:cs="Arial"/>
        </w:rPr>
        <w:t xml:space="preserve"> y </w:t>
      </w:r>
      <w:r w:rsidR="00974CBA" w:rsidRPr="003B1FCE">
        <w:rPr>
          <w:rFonts w:ascii="Arial" w:hAnsi="Arial" w:cs="Arial"/>
        </w:rPr>
        <w:t>99.28</w:t>
      </w:r>
      <w:r w:rsidRPr="003B1FCE">
        <w:rPr>
          <w:rFonts w:ascii="Arial" w:hAnsi="Arial" w:cs="Arial"/>
        </w:rPr>
        <w:t xml:space="preserve">%, respectivamente. </w:t>
      </w:r>
    </w:p>
    <w:p w:rsidR="00071E52" w:rsidRPr="003B1FCE" w:rsidRDefault="00071E52" w:rsidP="00071E52">
      <w:pPr>
        <w:spacing w:before="100" w:beforeAutospacing="1" w:after="100" w:afterAutospacing="1" w:line="360" w:lineRule="auto"/>
        <w:contextualSpacing/>
        <w:jc w:val="both"/>
        <w:rPr>
          <w:rFonts w:ascii="Arial" w:hAnsi="Arial" w:cs="Arial"/>
        </w:rPr>
      </w:pPr>
    </w:p>
    <w:p w:rsidR="00071E52" w:rsidRPr="003B1FCE" w:rsidRDefault="00071E52" w:rsidP="00071E52">
      <w:pPr>
        <w:spacing w:before="100" w:beforeAutospacing="1" w:after="100" w:afterAutospacing="1" w:line="360" w:lineRule="auto"/>
        <w:contextualSpacing/>
        <w:jc w:val="both"/>
        <w:rPr>
          <w:rFonts w:ascii="Arial" w:hAnsi="Arial" w:cs="Arial"/>
        </w:rPr>
      </w:pPr>
      <w:r w:rsidRPr="003B1FCE">
        <w:rPr>
          <w:rFonts w:ascii="Arial" w:hAnsi="Arial" w:cs="Arial"/>
        </w:rPr>
        <w:t xml:space="preserve">En esta misma línea, por artículo obtuvieron los siguientes índices con relación a la Primera Evaluación Vinculante: </w:t>
      </w:r>
    </w:p>
    <w:tbl>
      <w:tblPr>
        <w:tblStyle w:val="Tablaconcuadrcula"/>
        <w:tblW w:w="0" w:type="auto"/>
        <w:tblLook w:val="04A0" w:firstRow="1" w:lastRow="0" w:firstColumn="1" w:lastColumn="0" w:noHBand="0" w:noVBand="1"/>
      </w:tblPr>
      <w:tblGrid>
        <w:gridCol w:w="3659"/>
        <w:gridCol w:w="2148"/>
        <w:gridCol w:w="2092"/>
        <w:gridCol w:w="12"/>
        <w:gridCol w:w="908"/>
      </w:tblGrid>
      <w:tr w:rsidR="00071E52" w:rsidRPr="003B1FCE" w:rsidTr="00B018FB">
        <w:tc>
          <w:tcPr>
            <w:tcW w:w="3659" w:type="dxa"/>
            <w:shd w:val="clear" w:color="auto" w:fill="ED7D31" w:themeFill="accent2"/>
          </w:tcPr>
          <w:p w:rsidR="00071E52" w:rsidRPr="003B1FCE" w:rsidRDefault="00071E52" w:rsidP="00071E52">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Artículo</w:t>
            </w:r>
          </w:p>
        </w:tc>
        <w:tc>
          <w:tcPr>
            <w:tcW w:w="2148" w:type="dxa"/>
            <w:shd w:val="clear" w:color="auto" w:fill="ED7D31" w:themeFill="accent2"/>
          </w:tcPr>
          <w:p w:rsidR="00071E52" w:rsidRPr="003B1FCE" w:rsidRDefault="00071E52" w:rsidP="00071E52">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ICP – 1ª Evaluación</w:t>
            </w:r>
          </w:p>
        </w:tc>
        <w:tc>
          <w:tcPr>
            <w:tcW w:w="2092" w:type="dxa"/>
            <w:shd w:val="clear" w:color="auto" w:fill="ED7D31" w:themeFill="accent2"/>
          </w:tcPr>
          <w:p w:rsidR="00071E52" w:rsidRPr="003B1FCE" w:rsidRDefault="00071E52" w:rsidP="00071E52">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ICP – 3ª Evaluación</w:t>
            </w:r>
          </w:p>
        </w:tc>
        <w:tc>
          <w:tcPr>
            <w:tcW w:w="920" w:type="dxa"/>
            <w:gridSpan w:val="2"/>
            <w:shd w:val="clear" w:color="auto" w:fill="ED7D31" w:themeFill="accent2"/>
          </w:tcPr>
          <w:p w:rsidR="00071E52" w:rsidRPr="003B1FCE" w:rsidRDefault="00071E52" w:rsidP="00071E52">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Mejoría</w:t>
            </w:r>
          </w:p>
        </w:tc>
      </w:tr>
      <w:tr w:rsidR="00E55AB5" w:rsidRPr="003B1FCE" w:rsidTr="00071E52">
        <w:tc>
          <w:tcPr>
            <w:tcW w:w="3659" w:type="dxa"/>
          </w:tcPr>
          <w:p w:rsidR="00E55AB5" w:rsidRPr="003B1FCE" w:rsidRDefault="00E55AB5" w:rsidP="00E55AB5">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121 – Obligaciones Comunes</w:t>
            </w:r>
          </w:p>
        </w:tc>
        <w:tc>
          <w:tcPr>
            <w:tcW w:w="2148" w:type="dxa"/>
            <w:vAlign w:val="center"/>
          </w:tcPr>
          <w:p w:rsidR="00E55AB5" w:rsidRPr="003B1FCE" w:rsidRDefault="00E55AB5" w:rsidP="00E55AB5">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57.96</w:t>
            </w:r>
          </w:p>
        </w:tc>
        <w:tc>
          <w:tcPr>
            <w:tcW w:w="2104" w:type="dxa"/>
            <w:gridSpan w:val="2"/>
            <w:vAlign w:val="center"/>
          </w:tcPr>
          <w:p w:rsidR="00E55AB5" w:rsidRPr="003B1FCE" w:rsidRDefault="00E55AB5" w:rsidP="00E55AB5">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97.72</w:t>
            </w:r>
          </w:p>
        </w:tc>
        <w:tc>
          <w:tcPr>
            <w:tcW w:w="908" w:type="dxa"/>
            <w:vAlign w:val="center"/>
          </w:tcPr>
          <w:p w:rsidR="00E55AB5" w:rsidRPr="003B1FCE" w:rsidRDefault="00E55AB5" w:rsidP="00E55AB5">
            <w:pPr>
              <w:jc w:val="center"/>
              <w:rPr>
                <w:rFonts w:ascii="Arial" w:hAnsi="Arial" w:cs="Arial"/>
                <w:color w:val="000000"/>
                <w:sz w:val="20"/>
                <w:szCs w:val="20"/>
              </w:rPr>
            </w:pPr>
            <w:r w:rsidRPr="003B1FCE">
              <w:rPr>
                <w:rFonts w:ascii="Arial" w:hAnsi="Arial" w:cs="Arial"/>
                <w:color w:val="000000"/>
                <w:sz w:val="20"/>
                <w:szCs w:val="20"/>
              </w:rPr>
              <w:t>39.76</w:t>
            </w:r>
          </w:p>
        </w:tc>
      </w:tr>
      <w:tr w:rsidR="00E55AB5" w:rsidRPr="003B1FCE" w:rsidTr="00071E52">
        <w:tc>
          <w:tcPr>
            <w:tcW w:w="3659" w:type="dxa"/>
          </w:tcPr>
          <w:p w:rsidR="00E55AB5" w:rsidRPr="003B1FCE" w:rsidRDefault="00E55AB5" w:rsidP="00E55AB5">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125 – Obligaciones Específicas del Congreso de la Ciudad de México</w:t>
            </w:r>
          </w:p>
        </w:tc>
        <w:tc>
          <w:tcPr>
            <w:tcW w:w="2148" w:type="dxa"/>
            <w:vAlign w:val="center"/>
          </w:tcPr>
          <w:p w:rsidR="00E55AB5" w:rsidRPr="003B1FCE" w:rsidRDefault="00E55AB5" w:rsidP="00E55AB5">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57.13</w:t>
            </w:r>
          </w:p>
        </w:tc>
        <w:tc>
          <w:tcPr>
            <w:tcW w:w="2104" w:type="dxa"/>
            <w:gridSpan w:val="2"/>
            <w:vAlign w:val="center"/>
          </w:tcPr>
          <w:p w:rsidR="00E55AB5" w:rsidRPr="003B1FCE" w:rsidRDefault="00E55AB5" w:rsidP="00E55AB5">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96.89</w:t>
            </w:r>
          </w:p>
        </w:tc>
        <w:tc>
          <w:tcPr>
            <w:tcW w:w="908" w:type="dxa"/>
            <w:vAlign w:val="center"/>
          </w:tcPr>
          <w:p w:rsidR="00E55AB5" w:rsidRPr="003B1FCE" w:rsidRDefault="00E55AB5" w:rsidP="00E55AB5">
            <w:pPr>
              <w:jc w:val="center"/>
              <w:rPr>
                <w:rFonts w:ascii="Arial" w:hAnsi="Arial" w:cs="Arial"/>
                <w:color w:val="000000"/>
                <w:sz w:val="20"/>
                <w:szCs w:val="20"/>
              </w:rPr>
            </w:pPr>
            <w:r w:rsidRPr="003B1FCE">
              <w:rPr>
                <w:rFonts w:ascii="Arial" w:hAnsi="Arial" w:cs="Arial"/>
                <w:color w:val="000000"/>
                <w:sz w:val="20"/>
                <w:szCs w:val="20"/>
              </w:rPr>
              <w:t>39.76</w:t>
            </w:r>
          </w:p>
        </w:tc>
      </w:tr>
      <w:tr w:rsidR="00E55AB5" w:rsidRPr="003B1FCE" w:rsidTr="00071E52">
        <w:tc>
          <w:tcPr>
            <w:tcW w:w="3659" w:type="dxa"/>
          </w:tcPr>
          <w:p w:rsidR="00E55AB5" w:rsidRPr="003B1FCE" w:rsidRDefault="00E55AB5" w:rsidP="00E55AB5">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lastRenderedPageBreak/>
              <w:t xml:space="preserve">127 – Obligaciones Específicas de la Auditoría Superior de la Ciudad de México </w:t>
            </w:r>
          </w:p>
        </w:tc>
        <w:tc>
          <w:tcPr>
            <w:tcW w:w="2148" w:type="dxa"/>
            <w:vAlign w:val="center"/>
          </w:tcPr>
          <w:p w:rsidR="00E55AB5" w:rsidRPr="003B1FCE" w:rsidRDefault="00E55AB5" w:rsidP="00E55AB5">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65.59</w:t>
            </w:r>
          </w:p>
        </w:tc>
        <w:tc>
          <w:tcPr>
            <w:tcW w:w="2104" w:type="dxa"/>
            <w:gridSpan w:val="2"/>
            <w:vAlign w:val="center"/>
          </w:tcPr>
          <w:p w:rsidR="00E55AB5" w:rsidRPr="003B1FCE" w:rsidRDefault="00E55AB5" w:rsidP="00E55AB5">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100</w:t>
            </w:r>
          </w:p>
        </w:tc>
        <w:tc>
          <w:tcPr>
            <w:tcW w:w="908" w:type="dxa"/>
            <w:vAlign w:val="center"/>
          </w:tcPr>
          <w:p w:rsidR="00E55AB5" w:rsidRPr="003B1FCE" w:rsidRDefault="00E55AB5" w:rsidP="00E55AB5">
            <w:pPr>
              <w:jc w:val="center"/>
              <w:rPr>
                <w:rFonts w:ascii="Arial" w:hAnsi="Arial" w:cs="Arial"/>
                <w:color w:val="000000"/>
                <w:sz w:val="20"/>
                <w:szCs w:val="20"/>
              </w:rPr>
            </w:pPr>
            <w:r w:rsidRPr="003B1FCE">
              <w:rPr>
                <w:rFonts w:ascii="Arial" w:hAnsi="Arial" w:cs="Arial"/>
                <w:color w:val="000000"/>
                <w:sz w:val="20"/>
                <w:szCs w:val="20"/>
              </w:rPr>
              <w:t>34.41</w:t>
            </w:r>
          </w:p>
        </w:tc>
      </w:tr>
      <w:tr w:rsidR="00E55AB5" w:rsidRPr="003B1FCE" w:rsidTr="00071E52">
        <w:tc>
          <w:tcPr>
            <w:tcW w:w="3659" w:type="dxa"/>
          </w:tcPr>
          <w:p w:rsidR="00E55AB5" w:rsidRPr="003B1FCE" w:rsidRDefault="00E55AB5" w:rsidP="00E55AB5">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 xml:space="preserve">143 – Obra Pública </w:t>
            </w:r>
          </w:p>
        </w:tc>
        <w:tc>
          <w:tcPr>
            <w:tcW w:w="2148" w:type="dxa"/>
            <w:vAlign w:val="center"/>
          </w:tcPr>
          <w:p w:rsidR="00E55AB5" w:rsidRPr="003B1FCE" w:rsidRDefault="00E55AB5" w:rsidP="00E55AB5">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87.5</w:t>
            </w:r>
          </w:p>
        </w:tc>
        <w:tc>
          <w:tcPr>
            <w:tcW w:w="2104" w:type="dxa"/>
            <w:gridSpan w:val="2"/>
            <w:vAlign w:val="center"/>
          </w:tcPr>
          <w:p w:rsidR="00E55AB5" w:rsidRPr="003B1FCE" w:rsidRDefault="00E55AB5" w:rsidP="00E55AB5">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100</w:t>
            </w:r>
          </w:p>
        </w:tc>
        <w:tc>
          <w:tcPr>
            <w:tcW w:w="908" w:type="dxa"/>
            <w:vAlign w:val="center"/>
          </w:tcPr>
          <w:p w:rsidR="00E55AB5" w:rsidRPr="003B1FCE" w:rsidRDefault="00E55AB5" w:rsidP="00E55AB5">
            <w:pPr>
              <w:jc w:val="center"/>
              <w:rPr>
                <w:rFonts w:ascii="Arial" w:hAnsi="Arial" w:cs="Arial"/>
                <w:color w:val="000000"/>
                <w:sz w:val="20"/>
                <w:szCs w:val="20"/>
              </w:rPr>
            </w:pPr>
            <w:r w:rsidRPr="003B1FCE">
              <w:rPr>
                <w:rFonts w:ascii="Arial" w:hAnsi="Arial" w:cs="Arial"/>
                <w:color w:val="000000"/>
                <w:sz w:val="20"/>
                <w:szCs w:val="20"/>
              </w:rPr>
              <w:t>12.5</w:t>
            </w:r>
          </w:p>
        </w:tc>
      </w:tr>
      <w:tr w:rsidR="00E55AB5" w:rsidRPr="003B1FCE" w:rsidTr="00071E52">
        <w:tc>
          <w:tcPr>
            <w:tcW w:w="3659" w:type="dxa"/>
          </w:tcPr>
          <w:p w:rsidR="00E55AB5" w:rsidRPr="003B1FCE" w:rsidRDefault="00E55AB5" w:rsidP="00E55AB5">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145 – Portal de Transparencia</w:t>
            </w:r>
          </w:p>
        </w:tc>
        <w:tc>
          <w:tcPr>
            <w:tcW w:w="2148" w:type="dxa"/>
            <w:vAlign w:val="center"/>
          </w:tcPr>
          <w:p w:rsidR="00E55AB5" w:rsidRPr="003B1FCE" w:rsidRDefault="00E55AB5" w:rsidP="00E55AB5">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100</w:t>
            </w:r>
          </w:p>
        </w:tc>
        <w:tc>
          <w:tcPr>
            <w:tcW w:w="2104" w:type="dxa"/>
            <w:gridSpan w:val="2"/>
            <w:vAlign w:val="center"/>
          </w:tcPr>
          <w:p w:rsidR="00E55AB5" w:rsidRPr="003B1FCE" w:rsidRDefault="00E55AB5" w:rsidP="00E55AB5">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100</w:t>
            </w:r>
          </w:p>
        </w:tc>
        <w:tc>
          <w:tcPr>
            <w:tcW w:w="908" w:type="dxa"/>
            <w:vAlign w:val="center"/>
          </w:tcPr>
          <w:p w:rsidR="00E55AB5" w:rsidRPr="003B1FCE" w:rsidRDefault="00E55AB5" w:rsidP="00E55AB5">
            <w:pPr>
              <w:jc w:val="center"/>
              <w:rPr>
                <w:rFonts w:ascii="Arial" w:hAnsi="Arial" w:cs="Arial"/>
                <w:color w:val="000000"/>
                <w:sz w:val="20"/>
                <w:szCs w:val="20"/>
              </w:rPr>
            </w:pPr>
            <w:r w:rsidRPr="003B1FCE">
              <w:rPr>
                <w:rFonts w:ascii="Arial" w:hAnsi="Arial" w:cs="Arial"/>
                <w:color w:val="000000"/>
                <w:sz w:val="20"/>
                <w:szCs w:val="20"/>
              </w:rPr>
              <w:t>0</w:t>
            </w:r>
          </w:p>
        </w:tc>
      </w:tr>
      <w:tr w:rsidR="00E55AB5" w:rsidRPr="003B1FCE" w:rsidTr="00071E52">
        <w:tc>
          <w:tcPr>
            <w:tcW w:w="3659" w:type="dxa"/>
          </w:tcPr>
          <w:p w:rsidR="00E55AB5" w:rsidRPr="003B1FCE" w:rsidRDefault="00E55AB5" w:rsidP="00E55AB5">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146 – Calendario de actualización</w:t>
            </w:r>
          </w:p>
        </w:tc>
        <w:tc>
          <w:tcPr>
            <w:tcW w:w="2148" w:type="dxa"/>
            <w:vAlign w:val="center"/>
          </w:tcPr>
          <w:p w:rsidR="00E55AB5" w:rsidRPr="003B1FCE" w:rsidRDefault="00E55AB5" w:rsidP="00E55AB5">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50</w:t>
            </w:r>
          </w:p>
        </w:tc>
        <w:tc>
          <w:tcPr>
            <w:tcW w:w="2104" w:type="dxa"/>
            <w:gridSpan w:val="2"/>
            <w:vAlign w:val="center"/>
          </w:tcPr>
          <w:p w:rsidR="00E55AB5" w:rsidRPr="003B1FCE" w:rsidRDefault="00E55AB5" w:rsidP="00E55AB5">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100</w:t>
            </w:r>
          </w:p>
        </w:tc>
        <w:tc>
          <w:tcPr>
            <w:tcW w:w="908" w:type="dxa"/>
            <w:vAlign w:val="center"/>
          </w:tcPr>
          <w:p w:rsidR="00E55AB5" w:rsidRPr="003B1FCE" w:rsidRDefault="00E55AB5" w:rsidP="00E55AB5">
            <w:pPr>
              <w:jc w:val="center"/>
              <w:rPr>
                <w:rFonts w:ascii="Arial" w:hAnsi="Arial" w:cs="Arial"/>
                <w:color w:val="000000"/>
                <w:sz w:val="20"/>
                <w:szCs w:val="20"/>
              </w:rPr>
            </w:pPr>
            <w:r w:rsidRPr="003B1FCE">
              <w:rPr>
                <w:rFonts w:ascii="Arial" w:hAnsi="Arial" w:cs="Arial"/>
                <w:color w:val="000000"/>
                <w:sz w:val="20"/>
                <w:szCs w:val="20"/>
              </w:rPr>
              <w:t>50</w:t>
            </w:r>
          </w:p>
        </w:tc>
      </w:tr>
      <w:tr w:rsidR="00E55AB5" w:rsidRPr="003B1FCE" w:rsidTr="00071E52">
        <w:tc>
          <w:tcPr>
            <w:tcW w:w="3659" w:type="dxa"/>
          </w:tcPr>
          <w:p w:rsidR="00E55AB5" w:rsidRPr="003B1FCE" w:rsidRDefault="00E55AB5" w:rsidP="00E55AB5">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 xml:space="preserve">147 – Informes respecto de recursos otorgados por el sujeto obligado a terceros </w:t>
            </w:r>
          </w:p>
        </w:tc>
        <w:tc>
          <w:tcPr>
            <w:tcW w:w="2148" w:type="dxa"/>
            <w:vAlign w:val="center"/>
          </w:tcPr>
          <w:p w:rsidR="00E55AB5" w:rsidRPr="003B1FCE" w:rsidRDefault="00E55AB5" w:rsidP="00E55AB5">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55.67</w:t>
            </w:r>
          </w:p>
        </w:tc>
        <w:tc>
          <w:tcPr>
            <w:tcW w:w="2104" w:type="dxa"/>
            <w:gridSpan w:val="2"/>
            <w:vAlign w:val="center"/>
          </w:tcPr>
          <w:p w:rsidR="00E55AB5" w:rsidRPr="003B1FCE" w:rsidRDefault="00E55AB5" w:rsidP="00E55AB5">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98.14</w:t>
            </w:r>
          </w:p>
        </w:tc>
        <w:tc>
          <w:tcPr>
            <w:tcW w:w="908" w:type="dxa"/>
            <w:vAlign w:val="center"/>
          </w:tcPr>
          <w:p w:rsidR="00E55AB5" w:rsidRPr="003B1FCE" w:rsidRDefault="00E55AB5" w:rsidP="00E55AB5">
            <w:pPr>
              <w:jc w:val="center"/>
              <w:rPr>
                <w:rFonts w:ascii="Arial" w:hAnsi="Arial" w:cs="Arial"/>
                <w:color w:val="000000"/>
                <w:sz w:val="20"/>
                <w:szCs w:val="20"/>
              </w:rPr>
            </w:pPr>
            <w:r w:rsidRPr="003B1FCE">
              <w:rPr>
                <w:rFonts w:ascii="Arial" w:hAnsi="Arial" w:cs="Arial"/>
                <w:color w:val="000000"/>
                <w:sz w:val="20"/>
                <w:szCs w:val="20"/>
              </w:rPr>
              <w:t>42.47</w:t>
            </w:r>
          </w:p>
        </w:tc>
      </w:tr>
    </w:tbl>
    <w:p w:rsidR="00071E52" w:rsidRPr="003B1FCE" w:rsidRDefault="00071E52" w:rsidP="00071E52">
      <w:pPr>
        <w:spacing w:before="100" w:beforeAutospacing="1" w:after="100" w:afterAutospacing="1" w:line="360" w:lineRule="auto"/>
        <w:contextualSpacing/>
        <w:jc w:val="both"/>
        <w:rPr>
          <w:rFonts w:ascii="Arial" w:hAnsi="Arial" w:cs="Arial"/>
        </w:rPr>
      </w:pPr>
    </w:p>
    <w:p w:rsidR="00071E52" w:rsidRPr="003B1FCE" w:rsidRDefault="00071E52" w:rsidP="00071E52">
      <w:pPr>
        <w:spacing w:before="100" w:beforeAutospacing="1" w:after="100" w:afterAutospacing="1" w:line="360" w:lineRule="auto"/>
        <w:contextualSpacing/>
        <w:jc w:val="both"/>
        <w:rPr>
          <w:rFonts w:ascii="Arial" w:hAnsi="Arial" w:cs="Arial"/>
        </w:rPr>
      </w:pPr>
      <w:r w:rsidRPr="003B1FCE">
        <w:rPr>
          <w:rFonts w:ascii="Arial" w:hAnsi="Arial" w:cs="Arial"/>
        </w:rPr>
        <w:t xml:space="preserve">Del comparativo anteriormente plasmado, </w:t>
      </w:r>
      <w:r w:rsidR="00E55AB5" w:rsidRPr="003B1FCE">
        <w:rPr>
          <w:rFonts w:ascii="Arial" w:hAnsi="Arial" w:cs="Arial"/>
        </w:rPr>
        <w:t xml:space="preserve">se puede apreciar que este ámbito tuvo un incremento sustantivo en todos sus índices por artículo. En lo que respecta a las obligaciones comunes, pasó de estar situado en un incumplimiento parcial a un cumplimiento parcial, faltándole dos puntos en el índice para lograr el cumplimiento total. Sobre las obligaciones específicas, el Congreso pasó de estar en un incumplimiento a un cumplimento parcial, aumentando su índice en 39.76 puntos. </w:t>
      </w:r>
      <w:r w:rsidR="00632D2C" w:rsidRPr="003B1FCE">
        <w:rPr>
          <w:rFonts w:ascii="Arial" w:hAnsi="Arial" w:cs="Arial"/>
        </w:rPr>
        <w:t xml:space="preserve">Por otro lado, la Auditoría cumplió con la totalidad de sus obligaciones especificas, pasando de un cumplimiento parcial a uno total. Por último, la disposición particular consistente en tener un portal de transparencia se mantuvo en cumplimiento total y las disposiciones particulares contenidas en el artículo 143 y 146 también se cumplieron en su totalidad; únicamente el artículo 147 que se refiere a los informes respecto de los recursos otorgados por el sujeto obligado a terceros, continúa presentado áreas de oportunidad; sin embargo, pasó de estar situada en un incumplimiento parcial a un cumplimiento parcial. </w:t>
      </w:r>
      <w:r w:rsidRPr="003B1FCE">
        <w:rPr>
          <w:rFonts w:ascii="Arial" w:hAnsi="Arial" w:cs="Arial"/>
        </w:rPr>
        <w:t xml:space="preserve">El </w:t>
      </w:r>
      <w:r w:rsidR="00632D2C" w:rsidRPr="003B1FCE">
        <w:rPr>
          <w:rFonts w:ascii="Arial" w:hAnsi="Arial" w:cs="Arial"/>
        </w:rPr>
        <w:t>Poder Legislativo</w:t>
      </w:r>
      <w:r w:rsidRPr="003B1FCE">
        <w:rPr>
          <w:rFonts w:ascii="Arial" w:hAnsi="Arial" w:cs="Arial"/>
        </w:rPr>
        <w:t xml:space="preserve"> obtuvo un incremento promedio en su índice por artículo de </w:t>
      </w:r>
      <w:r w:rsidR="00632D2C" w:rsidRPr="003B1FCE">
        <w:rPr>
          <w:rFonts w:ascii="Arial" w:hAnsi="Arial" w:cs="Arial"/>
        </w:rPr>
        <w:t>31.27</w:t>
      </w:r>
      <w:r w:rsidRPr="003B1FCE">
        <w:rPr>
          <w:rFonts w:ascii="Arial" w:hAnsi="Arial" w:cs="Arial"/>
        </w:rPr>
        <w:t>%.</w:t>
      </w:r>
    </w:p>
    <w:p w:rsidR="00071E52" w:rsidRPr="003B1FCE" w:rsidRDefault="00071E52" w:rsidP="00071E52">
      <w:pPr>
        <w:spacing w:before="100" w:beforeAutospacing="1" w:after="100" w:afterAutospacing="1" w:line="360" w:lineRule="auto"/>
        <w:contextualSpacing/>
        <w:jc w:val="both"/>
        <w:rPr>
          <w:rFonts w:ascii="Arial" w:hAnsi="Arial" w:cs="Arial"/>
        </w:rPr>
      </w:pPr>
    </w:p>
    <w:p w:rsidR="00071E52" w:rsidRPr="003B1FCE" w:rsidRDefault="00071E52" w:rsidP="00071E52">
      <w:pPr>
        <w:spacing w:before="100" w:beforeAutospacing="1" w:after="100" w:afterAutospacing="1" w:line="360" w:lineRule="auto"/>
        <w:contextualSpacing/>
        <w:jc w:val="both"/>
        <w:rPr>
          <w:rFonts w:ascii="Arial" w:hAnsi="Arial" w:cs="Arial"/>
          <w:b/>
          <w:bCs/>
        </w:rPr>
      </w:pPr>
      <w:r w:rsidRPr="003B1FCE">
        <w:rPr>
          <w:rFonts w:ascii="Arial" w:hAnsi="Arial" w:cs="Arial"/>
          <w:b/>
          <w:bCs/>
        </w:rPr>
        <w:t>Comparativo de índices entre la Primera Evaluación Vinculante 2019 y la Tercera Evaluación Vinculante 2019</w:t>
      </w:r>
    </w:p>
    <w:tbl>
      <w:tblPr>
        <w:tblW w:w="9067" w:type="dxa"/>
        <w:tblLayout w:type="fixed"/>
        <w:tblCellMar>
          <w:left w:w="70" w:type="dxa"/>
          <w:right w:w="70" w:type="dxa"/>
        </w:tblCellMar>
        <w:tblLook w:val="04A0" w:firstRow="1" w:lastRow="0" w:firstColumn="1" w:lastColumn="0" w:noHBand="0" w:noVBand="1"/>
      </w:tblPr>
      <w:tblGrid>
        <w:gridCol w:w="463"/>
        <w:gridCol w:w="4352"/>
        <w:gridCol w:w="1559"/>
        <w:gridCol w:w="1703"/>
        <w:gridCol w:w="990"/>
      </w:tblGrid>
      <w:tr w:rsidR="00071E52" w:rsidRPr="003B1FCE" w:rsidTr="00B018FB">
        <w:trPr>
          <w:trHeight w:val="860"/>
          <w:tblHeader/>
        </w:trPr>
        <w:tc>
          <w:tcPr>
            <w:tcW w:w="9067" w:type="dxa"/>
            <w:gridSpan w:val="5"/>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071E52" w:rsidRPr="003B1FCE" w:rsidRDefault="00071E52" w:rsidP="00071E52">
            <w:pPr>
              <w:jc w:val="center"/>
              <w:rPr>
                <w:rFonts w:ascii="Arial" w:hAnsi="Arial" w:cs="Arial"/>
                <w:b/>
                <w:bCs/>
                <w:color w:val="000000"/>
                <w:sz w:val="20"/>
                <w:szCs w:val="20"/>
              </w:rPr>
            </w:pPr>
            <w:r w:rsidRPr="003B1FCE">
              <w:rPr>
                <w:rFonts w:ascii="Arial" w:hAnsi="Arial" w:cs="Arial"/>
                <w:b/>
                <w:bCs/>
                <w:color w:val="000000"/>
                <w:sz w:val="20"/>
                <w:szCs w:val="20"/>
              </w:rPr>
              <w:lastRenderedPageBreak/>
              <w:t>Resultados de la Tercera Evaluación Vinculante 2019, respecto de las recomendaciones y observaciones de la Primera Evaluación Vinculante 2019</w:t>
            </w:r>
          </w:p>
        </w:tc>
      </w:tr>
      <w:tr w:rsidR="00071E52" w:rsidRPr="003B1FCE" w:rsidTr="00B018FB">
        <w:trPr>
          <w:trHeight w:val="340"/>
          <w:tblHeader/>
        </w:trPr>
        <w:tc>
          <w:tcPr>
            <w:tcW w:w="463" w:type="dxa"/>
            <w:tcBorders>
              <w:top w:val="nil"/>
              <w:left w:val="single" w:sz="4" w:space="0" w:color="auto"/>
              <w:bottom w:val="single" w:sz="4" w:space="0" w:color="auto"/>
              <w:right w:val="single" w:sz="4" w:space="0" w:color="auto"/>
            </w:tcBorders>
            <w:shd w:val="clear" w:color="auto" w:fill="ED7D31" w:themeFill="accent2"/>
            <w:vAlign w:val="center"/>
            <w:hideMark/>
          </w:tcPr>
          <w:p w:rsidR="00071E52" w:rsidRPr="003B1FCE" w:rsidRDefault="00071E52" w:rsidP="00071E52">
            <w:pPr>
              <w:jc w:val="center"/>
              <w:rPr>
                <w:rFonts w:ascii="Arial" w:hAnsi="Arial" w:cs="Arial"/>
                <w:b/>
                <w:bCs/>
                <w:color w:val="000000"/>
                <w:sz w:val="20"/>
                <w:szCs w:val="20"/>
              </w:rPr>
            </w:pPr>
            <w:r w:rsidRPr="003B1FCE">
              <w:rPr>
                <w:rFonts w:ascii="Arial" w:hAnsi="Arial" w:cs="Arial"/>
                <w:b/>
                <w:bCs/>
                <w:color w:val="000000"/>
                <w:sz w:val="20"/>
                <w:szCs w:val="20"/>
              </w:rPr>
              <w:t>No.</w:t>
            </w:r>
          </w:p>
        </w:tc>
        <w:tc>
          <w:tcPr>
            <w:tcW w:w="4352" w:type="dxa"/>
            <w:tcBorders>
              <w:top w:val="nil"/>
              <w:left w:val="nil"/>
              <w:bottom w:val="single" w:sz="4" w:space="0" w:color="auto"/>
              <w:right w:val="single" w:sz="4" w:space="0" w:color="auto"/>
            </w:tcBorders>
            <w:shd w:val="clear" w:color="auto" w:fill="ED7D31" w:themeFill="accent2"/>
            <w:vAlign w:val="center"/>
            <w:hideMark/>
          </w:tcPr>
          <w:p w:rsidR="00071E52" w:rsidRPr="003B1FCE" w:rsidRDefault="00071E52" w:rsidP="00071E52">
            <w:pPr>
              <w:jc w:val="center"/>
              <w:rPr>
                <w:rFonts w:ascii="Arial" w:hAnsi="Arial" w:cs="Arial"/>
                <w:b/>
                <w:bCs/>
                <w:color w:val="000000"/>
                <w:sz w:val="20"/>
                <w:szCs w:val="20"/>
              </w:rPr>
            </w:pPr>
            <w:r w:rsidRPr="003B1FCE">
              <w:rPr>
                <w:rFonts w:ascii="Arial" w:hAnsi="Arial" w:cs="Arial"/>
                <w:b/>
                <w:bCs/>
                <w:color w:val="000000"/>
                <w:sz w:val="20"/>
                <w:szCs w:val="20"/>
              </w:rPr>
              <w:t>Sujeto obligado</w:t>
            </w:r>
          </w:p>
        </w:tc>
        <w:tc>
          <w:tcPr>
            <w:tcW w:w="1559" w:type="dxa"/>
            <w:tcBorders>
              <w:top w:val="nil"/>
              <w:left w:val="nil"/>
              <w:bottom w:val="single" w:sz="4" w:space="0" w:color="auto"/>
              <w:right w:val="single" w:sz="4" w:space="0" w:color="auto"/>
            </w:tcBorders>
            <w:shd w:val="clear" w:color="auto" w:fill="ED7D31" w:themeFill="accent2"/>
            <w:vAlign w:val="center"/>
            <w:hideMark/>
          </w:tcPr>
          <w:p w:rsidR="00071E52" w:rsidRPr="003B1FCE" w:rsidRDefault="00071E52" w:rsidP="00071E52">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1a Evaluación Vinculante 2019, respecto del ejercicio 2018</w:t>
            </w:r>
          </w:p>
        </w:tc>
        <w:tc>
          <w:tcPr>
            <w:tcW w:w="1703" w:type="dxa"/>
            <w:tcBorders>
              <w:top w:val="nil"/>
              <w:left w:val="nil"/>
              <w:bottom w:val="single" w:sz="4" w:space="0" w:color="auto"/>
              <w:right w:val="single" w:sz="4" w:space="0" w:color="auto"/>
            </w:tcBorders>
            <w:shd w:val="clear" w:color="auto" w:fill="ED7D31" w:themeFill="accent2"/>
            <w:vAlign w:val="center"/>
            <w:hideMark/>
          </w:tcPr>
          <w:p w:rsidR="00071E52" w:rsidRPr="003B1FCE" w:rsidRDefault="00071E52" w:rsidP="00071E52">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3a Evaluación Vinculante, respecto de la 1a Evaluación Vinculante</w:t>
            </w:r>
          </w:p>
        </w:tc>
        <w:tc>
          <w:tcPr>
            <w:tcW w:w="990" w:type="dxa"/>
            <w:tcBorders>
              <w:top w:val="nil"/>
              <w:left w:val="nil"/>
              <w:bottom w:val="single" w:sz="4" w:space="0" w:color="auto"/>
              <w:right w:val="single" w:sz="4" w:space="0" w:color="auto"/>
            </w:tcBorders>
            <w:shd w:val="clear" w:color="auto" w:fill="ED7D31" w:themeFill="accent2"/>
            <w:vAlign w:val="center"/>
            <w:hideMark/>
          </w:tcPr>
          <w:p w:rsidR="00071E52" w:rsidRPr="003B1FCE" w:rsidRDefault="00071E52" w:rsidP="00071E52">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Mejoría</w:t>
            </w:r>
          </w:p>
        </w:tc>
      </w:tr>
      <w:tr w:rsidR="00632D2C" w:rsidRPr="003B1FCE" w:rsidTr="00632D2C">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632D2C" w:rsidRPr="003B1FCE" w:rsidRDefault="00632D2C" w:rsidP="00632D2C">
            <w:pPr>
              <w:jc w:val="center"/>
              <w:rPr>
                <w:rFonts w:ascii="Arial" w:hAnsi="Arial" w:cs="Arial"/>
                <w:color w:val="000000"/>
                <w:sz w:val="20"/>
                <w:szCs w:val="20"/>
              </w:rPr>
            </w:pPr>
            <w:r w:rsidRPr="003B1FCE">
              <w:rPr>
                <w:rFonts w:ascii="Arial" w:hAnsi="Arial" w:cs="Arial"/>
                <w:color w:val="000000"/>
                <w:sz w:val="20"/>
                <w:szCs w:val="20"/>
              </w:rPr>
              <w:t>1</w:t>
            </w:r>
          </w:p>
        </w:tc>
        <w:tc>
          <w:tcPr>
            <w:tcW w:w="4352" w:type="dxa"/>
            <w:tcBorders>
              <w:top w:val="nil"/>
              <w:left w:val="nil"/>
              <w:bottom w:val="single" w:sz="4" w:space="0" w:color="auto"/>
              <w:right w:val="single" w:sz="4" w:space="0" w:color="auto"/>
            </w:tcBorders>
            <w:shd w:val="clear" w:color="auto" w:fill="auto"/>
            <w:vAlign w:val="center"/>
            <w:hideMark/>
          </w:tcPr>
          <w:p w:rsidR="00632D2C" w:rsidRPr="003B1FCE" w:rsidRDefault="00632D2C" w:rsidP="00632D2C">
            <w:pPr>
              <w:rPr>
                <w:rFonts w:ascii="Arial" w:hAnsi="Arial" w:cs="Arial"/>
                <w:color w:val="000000"/>
                <w:sz w:val="20"/>
                <w:szCs w:val="20"/>
              </w:rPr>
            </w:pPr>
            <w:r w:rsidRPr="003B1FCE">
              <w:rPr>
                <w:rFonts w:ascii="Arial" w:hAnsi="Arial" w:cs="Arial"/>
                <w:color w:val="000000"/>
                <w:sz w:val="20"/>
                <w:szCs w:val="20"/>
              </w:rPr>
              <w:t>Auditoría Superior de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632D2C" w:rsidRPr="003B1FCE" w:rsidRDefault="00632D2C" w:rsidP="00632D2C">
            <w:pPr>
              <w:jc w:val="center"/>
              <w:rPr>
                <w:rFonts w:ascii="Arial" w:hAnsi="Arial" w:cs="Arial"/>
                <w:color w:val="000000"/>
                <w:sz w:val="20"/>
                <w:szCs w:val="20"/>
              </w:rPr>
            </w:pPr>
            <w:r w:rsidRPr="003B1FCE">
              <w:rPr>
                <w:rFonts w:ascii="Arial" w:hAnsi="Arial" w:cs="Arial"/>
                <w:color w:val="000000"/>
                <w:sz w:val="20"/>
                <w:szCs w:val="20"/>
              </w:rPr>
              <w:t>62.90</w:t>
            </w:r>
          </w:p>
        </w:tc>
        <w:tc>
          <w:tcPr>
            <w:tcW w:w="1703" w:type="dxa"/>
            <w:tcBorders>
              <w:top w:val="nil"/>
              <w:left w:val="nil"/>
              <w:bottom w:val="single" w:sz="4" w:space="0" w:color="auto"/>
              <w:right w:val="single" w:sz="4" w:space="0" w:color="auto"/>
            </w:tcBorders>
            <w:shd w:val="clear" w:color="auto" w:fill="auto"/>
            <w:vAlign w:val="center"/>
            <w:hideMark/>
          </w:tcPr>
          <w:p w:rsidR="00632D2C" w:rsidRPr="003B1FCE" w:rsidRDefault="00632D2C" w:rsidP="00632D2C">
            <w:pPr>
              <w:jc w:val="center"/>
              <w:rPr>
                <w:rFonts w:ascii="Arial" w:hAnsi="Arial" w:cs="Arial"/>
                <w:color w:val="000000"/>
                <w:sz w:val="20"/>
                <w:szCs w:val="20"/>
              </w:rPr>
            </w:pPr>
            <w:r w:rsidRPr="003B1FCE">
              <w:rPr>
                <w:rFonts w:ascii="Arial" w:hAnsi="Arial" w:cs="Arial"/>
                <w:color w:val="000000"/>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632D2C" w:rsidRPr="003B1FCE" w:rsidRDefault="00632D2C" w:rsidP="00632D2C">
            <w:pPr>
              <w:jc w:val="center"/>
              <w:rPr>
                <w:rFonts w:ascii="Arial" w:hAnsi="Arial" w:cs="Arial"/>
                <w:color w:val="000000"/>
                <w:sz w:val="20"/>
                <w:szCs w:val="20"/>
              </w:rPr>
            </w:pPr>
            <w:r w:rsidRPr="003B1FCE">
              <w:rPr>
                <w:rFonts w:ascii="Arial" w:hAnsi="Arial" w:cs="Arial"/>
                <w:color w:val="000000"/>
                <w:sz w:val="20"/>
                <w:szCs w:val="20"/>
              </w:rPr>
              <w:t>37.10</w:t>
            </w:r>
          </w:p>
        </w:tc>
      </w:tr>
      <w:tr w:rsidR="00632D2C" w:rsidRPr="003B1FCE" w:rsidTr="00632D2C">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632D2C" w:rsidRPr="003B1FCE" w:rsidRDefault="00632D2C" w:rsidP="00632D2C">
            <w:pPr>
              <w:jc w:val="center"/>
              <w:rPr>
                <w:rFonts w:ascii="Arial" w:hAnsi="Arial" w:cs="Arial"/>
                <w:color w:val="000000"/>
                <w:sz w:val="20"/>
                <w:szCs w:val="20"/>
              </w:rPr>
            </w:pPr>
            <w:r w:rsidRPr="003B1FCE">
              <w:rPr>
                <w:rFonts w:ascii="Arial" w:hAnsi="Arial" w:cs="Arial"/>
                <w:color w:val="000000"/>
                <w:sz w:val="20"/>
                <w:szCs w:val="20"/>
              </w:rPr>
              <w:t>2</w:t>
            </w:r>
          </w:p>
        </w:tc>
        <w:tc>
          <w:tcPr>
            <w:tcW w:w="4352" w:type="dxa"/>
            <w:tcBorders>
              <w:top w:val="nil"/>
              <w:left w:val="nil"/>
              <w:bottom w:val="single" w:sz="4" w:space="0" w:color="auto"/>
              <w:right w:val="single" w:sz="4" w:space="0" w:color="auto"/>
            </w:tcBorders>
            <w:shd w:val="clear" w:color="auto" w:fill="auto"/>
            <w:vAlign w:val="center"/>
            <w:hideMark/>
          </w:tcPr>
          <w:p w:rsidR="00632D2C" w:rsidRPr="003B1FCE" w:rsidRDefault="00632D2C" w:rsidP="00632D2C">
            <w:pPr>
              <w:rPr>
                <w:rFonts w:ascii="Arial" w:hAnsi="Arial" w:cs="Arial"/>
                <w:color w:val="000000"/>
                <w:sz w:val="20"/>
                <w:szCs w:val="20"/>
              </w:rPr>
            </w:pPr>
            <w:r w:rsidRPr="003B1FCE">
              <w:rPr>
                <w:rFonts w:ascii="Arial" w:hAnsi="Arial" w:cs="Arial"/>
                <w:color w:val="000000"/>
                <w:sz w:val="20"/>
                <w:szCs w:val="20"/>
              </w:rPr>
              <w:t>Asamblea Legislativa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632D2C" w:rsidRPr="003B1FCE" w:rsidRDefault="00632D2C" w:rsidP="00632D2C">
            <w:pPr>
              <w:jc w:val="center"/>
              <w:rPr>
                <w:rFonts w:ascii="Arial" w:hAnsi="Arial" w:cs="Arial"/>
                <w:color w:val="000000"/>
                <w:sz w:val="20"/>
                <w:szCs w:val="20"/>
              </w:rPr>
            </w:pPr>
            <w:r w:rsidRPr="003B1FCE">
              <w:rPr>
                <w:rFonts w:ascii="Arial" w:hAnsi="Arial" w:cs="Arial"/>
                <w:color w:val="000000"/>
                <w:sz w:val="20"/>
                <w:szCs w:val="20"/>
              </w:rPr>
              <w:t>60.51</w:t>
            </w:r>
          </w:p>
        </w:tc>
        <w:tc>
          <w:tcPr>
            <w:tcW w:w="1703" w:type="dxa"/>
            <w:tcBorders>
              <w:top w:val="nil"/>
              <w:left w:val="nil"/>
              <w:bottom w:val="single" w:sz="4" w:space="0" w:color="auto"/>
              <w:right w:val="single" w:sz="4" w:space="0" w:color="auto"/>
            </w:tcBorders>
            <w:shd w:val="clear" w:color="auto" w:fill="auto"/>
            <w:vAlign w:val="center"/>
            <w:hideMark/>
          </w:tcPr>
          <w:p w:rsidR="00632D2C" w:rsidRPr="003B1FCE" w:rsidRDefault="00632D2C" w:rsidP="00632D2C">
            <w:pPr>
              <w:jc w:val="center"/>
              <w:rPr>
                <w:rFonts w:ascii="Arial" w:hAnsi="Arial" w:cs="Arial"/>
                <w:color w:val="000000"/>
                <w:sz w:val="20"/>
                <w:szCs w:val="20"/>
              </w:rPr>
            </w:pPr>
            <w:r w:rsidRPr="003B1FCE">
              <w:rPr>
                <w:rFonts w:ascii="Arial" w:hAnsi="Arial" w:cs="Arial"/>
                <w:color w:val="000000"/>
                <w:sz w:val="20"/>
                <w:szCs w:val="20"/>
              </w:rPr>
              <w:t>96.37</w:t>
            </w:r>
          </w:p>
        </w:tc>
        <w:tc>
          <w:tcPr>
            <w:tcW w:w="990" w:type="dxa"/>
            <w:tcBorders>
              <w:top w:val="nil"/>
              <w:left w:val="nil"/>
              <w:bottom w:val="single" w:sz="4" w:space="0" w:color="auto"/>
              <w:right w:val="single" w:sz="4" w:space="0" w:color="auto"/>
            </w:tcBorders>
            <w:shd w:val="clear" w:color="auto" w:fill="auto"/>
            <w:vAlign w:val="center"/>
            <w:hideMark/>
          </w:tcPr>
          <w:p w:rsidR="00632D2C" w:rsidRPr="003B1FCE" w:rsidRDefault="00632D2C" w:rsidP="00632D2C">
            <w:pPr>
              <w:jc w:val="center"/>
              <w:rPr>
                <w:rFonts w:ascii="Arial" w:hAnsi="Arial" w:cs="Arial"/>
                <w:color w:val="000000"/>
                <w:sz w:val="20"/>
                <w:szCs w:val="20"/>
              </w:rPr>
            </w:pPr>
            <w:r w:rsidRPr="003B1FCE">
              <w:rPr>
                <w:rFonts w:ascii="Arial" w:hAnsi="Arial" w:cs="Arial"/>
                <w:color w:val="000000"/>
                <w:sz w:val="20"/>
                <w:szCs w:val="20"/>
              </w:rPr>
              <w:t>35.86</w:t>
            </w:r>
          </w:p>
        </w:tc>
      </w:tr>
    </w:tbl>
    <w:p w:rsidR="00071E52" w:rsidRPr="003B1FCE" w:rsidRDefault="00071E52" w:rsidP="00071E52">
      <w:pPr>
        <w:spacing w:before="100" w:beforeAutospacing="1" w:after="100" w:afterAutospacing="1" w:line="360" w:lineRule="auto"/>
        <w:contextualSpacing/>
        <w:jc w:val="both"/>
        <w:rPr>
          <w:rFonts w:ascii="Arial" w:hAnsi="Arial" w:cs="Arial"/>
        </w:rPr>
      </w:pPr>
    </w:p>
    <w:p w:rsidR="00071E52" w:rsidRPr="003B1FCE" w:rsidRDefault="00071E52" w:rsidP="00071E52">
      <w:pPr>
        <w:spacing w:before="100" w:beforeAutospacing="1" w:after="100" w:afterAutospacing="1" w:line="360" w:lineRule="auto"/>
        <w:jc w:val="both"/>
        <w:rPr>
          <w:rFonts w:ascii="Arial" w:hAnsi="Arial" w:cs="Arial"/>
        </w:rPr>
      </w:pPr>
      <w:r w:rsidRPr="003B1FCE">
        <w:rPr>
          <w:rFonts w:ascii="Arial" w:hAnsi="Arial" w:cs="Arial"/>
        </w:rPr>
        <w:t>Con relación a las recomendaciones y observaciones emitidas a</w:t>
      </w:r>
      <w:r w:rsidR="00632D2C" w:rsidRPr="003B1FCE">
        <w:rPr>
          <w:rFonts w:ascii="Arial" w:hAnsi="Arial" w:cs="Arial"/>
        </w:rPr>
        <w:t>l Poder Legislativo, ambos sujetos obligados que integran el ámbito atendieron las</w:t>
      </w:r>
      <w:r w:rsidR="004903C6" w:rsidRPr="003B1FCE">
        <w:rPr>
          <w:rFonts w:ascii="Arial" w:hAnsi="Arial" w:cs="Arial"/>
        </w:rPr>
        <w:t xml:space="preserve"> </w:t>
      </w:r>
      <w:r w:rsidR="00632D2C" w:rsidRPr="003B1FCE">
        <w:rPr>
          <w:rFonts w:ascii="Arial" w:hAnsi="Arial" w:cs="Arial"/>
        </w:rPr>
        <w:t>mismas; sin embargo, la Auditoría Superior cumplió con la totalidad de las recomendaciones, alcanzando un IGOT de 100%; mientras que el Congreso de la Ciudad de México continúa presentando áreas</w:t>
      </w:r>
      <w:r w:rsidR="00D71D7B">
        <w:rPr>
          <w:rFonts w:ascii="Arial" w:hAnsi="Arial" w:cs="Arial"/>
        </w:rPr>
        <w:t xml:space="preserve"> de</w:t>
      </w:r>
      <w:r w:rsidR="00632D2C" w:rsidRPr="003B1FCE">
        <w:rPr>
          <w:rFonts w:ascii="Arial" w:hAnsi="Arial" w:cs="Arial"/>
        </w:rPr>
        <w:t xml:space="preserve"> oportunidad que lo continúa situando en un cumplimiento parcial</w:t>
      </w:r>
      <w:r w:rsidR="004903C6" w:rsidRPr="003B1FCE">
        <w:rPr>
          <w:rFonts w:ascii="Arial" w:hAnsi="Arial" w:cs="Arial"/>
        </w:rPr>
        <w:t>, con un IGOT de 96.37%.</w:t>
      </w:r>
    </w:p>
    <w:p w:rsidR="00071E52" w:rsidRPr="003B1FCE" w:rsidRDefault="00632D2C" w:rsidP="00632D2C">
      <w:pPr>
        <w:spacing w:before="100" w:beforeAutospacing="1" w:after="100" w:afterAutospacing="1" w:line="360" w:lineRule="auto"/>
        <w:jc w:val="both"/>
        <w:rPr>
          <w:rFonts w:ascii="Arial" w:hAnsi="Arial" w:cs="Arial"/>
        </w:rPr>
      </w:pPr>
      <w:r w:rsidRPr="003B1FCE">
        <w:rPr>
          <w:rFonts w:ascii="Arial" w:hAnsi="Arial" w:cs="Arial"/>
        </w:rPr>
        <w:t>Es importante resaltar que los sujetos de este ámbito tuvieron una mejoría promedio en su índice de 36.48</w:t>
      </w:r>
      <w:r w:rsidR="00900995" w:rsidRPr="003B1FCE">
        <w:rPr>
          <w:rFonts w:ascii="Arial" w:hAnsi="Arial" w:cs="Arial"/>
        </w:rPr>
        <w:t xml:space="preserve"> puntos.</w:t>
      </w:r>
    </w:p>
    <w:p w:rsidR="00900995" w:rsidRPr="003B1FCE" w:rsidRDefault="00900995">
      <w:pPr>
        <w:rPr>
          <w:rFonts w:ascii="Arial" w:eastAsiaTheme="majorEastAsia" w:hAnsi="Arial" w:cs="Arial"/>
          <w:b/>
          <w:lang w:eastAsia="en-US"/>
        </w:rPr>
      </w:pPr>
      <w:r w:rsidRPr="003B1FCE">
        <w:rPr>
          <w:rFonts w:ascii="Arial" w:hAnsi="Arial" w:cs="Arial"/>
          <w:b/>
        </w:rPr>
        <w:br w:type="page"/>
      </w:r>
    </w:p>
    <w:p w:rsidR="00632D2C" w:rsidRPr="003B1FCE" w:rsidRDefault="00632D2C" w:rsidP="00FF7BD9">
      <w:pPr>
        <w:pStyle w:val="Ttulo1"/>
        <w:contextualSpacing/>
        <w:rPr>
          <w:rFonts w:ascii="Arial" w:hAnsi="Arial" w:cs="Arial"/>
          <w:b/>
          <w:color w:val="auto"/>
          <w:sz w:val="24"/>
          <w:szCs w:val="24"/>
        </w:rPr>
      </w:pPr>
      <w:bookmarkStart w:id="21" w:name="_Toc26913260"/>
      <w:r w:rsidRPr="003B1FCE">
        <w:rPr>
          <w:rFonts w:ascii="Arial" w:hAnsi="Arial" w:cs="Arial"/>
          <w:b/>
          <w:color w:val="auto"/>
          <w:sz w:val="24"/>
          <w:szCs w:val="24"/>
        </w:rPr>
        <w:lastRenderedPageBreak/>
        <w:t>PODER JUDICIAL</w:t>
      </w:r>
      <w:bookmarkEnd w:id="21"/>
    </w:p>
    <w:p w:rsidR="00632D2C" w:rsidRPr="003B1FCE" w:rsidRDefault="00632D2C" w:rsidP="00632D2C">
      <w:pPr>
        <w:contextualSpacing/>
        <w:rPr>
          <w:rFonts w:ascii="Arial" w:hAnsi="Arial" w:cs="Arial"/>
        </w:rPr>
      </w:pPr>
    </w:p>
    <w:p w:rsidR="00632D2C" w:rsidRPr="003B1FCE" w:rsidRDefault="00632D2C" w:rsidP="00632D2C">
      <w:pPr>
        <w:spacing w:before="100" w:beforeAutospacing="1" w:after="100" w:afterAutospacing="1" w:line="360" w:lineRule="auto"/>
        <w:contextualSpacing/>
        <w:jc w:val="both"/>
        <w:rPr>
          <w:rFonts w:ascii="Arial" w:hAnsi="Arial" w:cs="Arial"/>
        </w:rPr>
      </w:pPr>
      <w:r w:rsidRPr="003B1FCE">
        <w:rPr>
          <w:rFonts w:ascii="Arial" w:hAnsi="Arial" w:cs="Arial"/>
        </w:rPr>
        <w:t xml:space="preserve">El ámbito del Poder </w:t>
      </w:r>
      <w:r w:rsidR="002D2A1D" w:rsidRPr="003B1FCE">
        <w:rPr>
          <w:rFonts w:ascii="Arial" w:hAnsi="Arial" w:cs="Arial"/>
        </w:rPr>
        <w:t>Judicial</w:t>
      </w:r>
      <w:r w:rsidRPr="003B1FCE">
        <w:rPr>
          <w:rFonts w:ascii="Arial" w:hAnsi="Arial" w:cs="Arial"/>
        </w:rPr>
        <w:t xml:space="preserve"> está integrado por dos sujetos obligados, de conformidad con el Padrón de sujetos obligados supeditados al cumplimiento de la Ley de Transparencia, Acceso a la Información Pública y Rendición de Cuentas de la Ciudad de México</w:t>
      </w:r>
      <w:r w:rsidRPr="003B1FCE" w:rsidDel="005B5D1B">
        <w:rPr>
          <w:rFonts w:ascii="Arial" w:hAnsi="Arial" w:cs="Arial"/>
        </w:rPr>
        <w:t xml:space="preserve"> </w:t>
      </w:r>
      <w:r w:rsidRPr="003B1FCE">
        <w:rPr>
          <w:rFonts w:ascii="Arial" w:hAnsi="Arial" w:cs="Arial"/>
        </w:rPr>
        <w:t xml:space="preserve">y de la Ley de Protección de Datos Personales en Posesión de los sujetos obligados de la Ciudad de México vigente al 31 de diciembre </w:t>
      </w:r>
      <w:r w:rsidR="004903C6" w:rsidRPr="003B1FCE">
        <w:rPr>
          <w:rFonts w:ascii="Arial" w:hAnsi="Arial" w:cs="Arial"/>
        </w:rPr>
        <w:t>d</w:t>
      </w:r>
      <w:r w:rsidRPr="003B1FCE">
        <w:rPr>
          <w:rFonts w:ascii="Arial" w:hAnsi="Arial" w:cs="Arial"/>
        </w:rPr>
        <w:t>e 2018. La totalidad de sujetos de este ámbito fueron evaluados debido a que ninguno alcanzó e</w:t>
      </w:r>
      <w:r w:rsidR="004903C6" w:rsidRPr="003B1FCE">
        <w:rPr>
          <w:rFonts w:ascii="Arial" w:hAnsi="Arial" w:cs="Arial"/>
        </w:rPr>
        <w:t>l</w:t>
      </w:r>
      <w:r w:rsidRPr="003B1FCE">
        <w:rPr>
          <w:rFonts w:ascii="Arial" w:hAnsi="Arial" w:cs="Arial"/>
        </w:rPr>
        <w:t xml:space="preserve"> cumplimiento total de sus obligaciones de transparencia en la Primera Evaluación Vinculante 2019. </w:t>
      </w:r>
    </w:p>
    <w:p w:rsidR="00632D2C" w:rsidRPr="003B1FCE" w:rsidRDefault="00632D2C" w:rsidP="00632D2C">
      <w:pPr>
        <w:spacing w:before="100" w:beforeAutospacing="1" w:after="100" w:afterAutospacing="1" w:line="360" w:lineRule="auto"/>
        <w:contextualSpacing/>
        <w:jc w:val="both"/>
        <w:rPr>
          <w:rFonts w:ascii="Arial" w:hAnsi="Arial" w:cs="Arial"/>
        </w:rPr>
      </w:pPr>
    </w:p>
    <w:p w:rsidR="00632D2C" w:rsidRPr="003B1FCE" w:rsidRDefault="00632D2C" w:rsidP="00632D2C">
      <w:pPr>
        <w:spacing w:before="100" w:beforeAutospacing="1" w:after="100" w:afterAutospacing="1" w:line="360" w:lineRule="auto"/>
        <w:contextualSpacing/>
        <w:jc w:val="both"/>
        <w:rPr>
          <w:rFonts w:ascii="Arial" w:hAnsi="Arial" w:cs="Arial"/>
        </w:rPr>
      </w:pPr>
      <w:r w:rsidRPr="003B1FCE">
        <w:rPr>
          <w:rFonts w:ascii="Arial" w:hAnsi="Arial" w:cs="Arial"/>
        </w:rPr>
        <w:t xml:space="preserve">Los sujetos obligados, así como su Índice de Cumplimiento de obligaciones de transparencia del Portal de Internet (IGOT-PI), el de la Plataforma Nacional de Transparencia (IGOT-PNT) y el Índice General de Cumplimiento de obligaciones de transparencia (IGOT) se presentan en la siguiente tabla, ordenados de forma descendente, respecto del IGOT: </w:t>
      </w:r>
    </w:p>
    <w:p w:rsidR="00632D2C" w:rsidRPr="003B1FCE" w:rsidRDefault="00632D2C" w:rsidP="00632D2C">
      <w:pPr>
        <w:spacing w:before="100" w:beforeAutospacing="1" w:after="100" w:afterAutospacing="1" w:line="360" w:lineRule="auto"/>
        <w:contextualSpacing/>
        <w:jc w:val="both"/>
        <w:rPr>
          <w:rFonts w:ascii="Arial" w:hAnsi="Arial" w:cs="Arial"/>
        </w:rPr>
      </w:pPr>
    </w:p>
    <w:tbl>
      <w:tblPr>
        <w:tblW w:w="8926" w:type="dxa"/>
        <w:tblCellMar>
          <w:left w:w="70" w:type="dxa"/>
          <w:right w:w="70" w:type="dxa"/>
        </w:tblCellMar>
        <w:tblLook w:val="04A0" w:firstRow="1" w:lastRow="0" w:firstColumn="1" w:lastColumn="0" w:noHBand="0" w:noVBand="1"/>
      </w:tblPr>
      <w:tblGrid>
        <w:gridCol w:w="529"/>
        <w:gridCol w:w="5136"/>
        <w:gridCol w:w="1123"/>
        <w:gridCol w:w="1263"/>
        <w:gridCol w:w="875"/>
      </w:tblGrid>
      <w:tr w:rsidR="00632D2C" w:rsidRPr="003B1FCE" w:rsidTr="00B018FB">
        <w:trPr>
          <w:trHeight w:val="860"/>
          <w:tblHeader/>
        </w:trPr>
        <w:tc>
          <w:tcPr>
            <w:tcW w:w="8926" w:type="dxa"/>
            <w:gridSpan w:val="5"/>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632D2C" w:rsidRPr="003B1FCE" w:rsidRDefault="00632D2C" w:rsidP="0007356A">
            <w:pPr>
              <w:jc w:val="center"/>
              <w:rPr>
                <w:rFonts w:ascii="Arial" w:hAnsi="Arial" w:cs="Arial"/>
                <w:b/>
                <w:bCs/>
                <w:color w:val="000000"/>
                <w:sz w:val="20"/>
                <w:szCs w:val="20"/>
              </w:rPr>
            </w:pPr>
            <w:r w:rsidRPr="003B1FCE">
              <w:rPr>
                <w:rFonts w:ascii="Arial" w:hAnsi="Arial" w:cs="Arial"/>
                <w:b/>
                <w:bCs/>
                <w:color w:val="000000"/>
                <w:sz w:val="20"/>
                <w:szCs w:val="20"/>
              </w:rPr>
              <w:t>Resultados de la Tercera Evaluación Vinculante 2019, respecto de las recomendaciones y observaciones de la Primera Evaluación Vinculante 2019</w:t>
            </w:r>
          </w:p>
        </w:tc>
      </w:tr>
      <w:tr w:rsidR="00632D2C" w:rsidRPr="003B1FCE" w:rsidTr="00B018FB">
        <w:trPr>
          <w:trHeight w:val="340"/>
          <w:tblHeader/>
        </w:trPr>
        <w:tc>
          <w:tcPr>
            <w:tcW w:w="529" w:type="dxa"/>
            <w:tcBorders>
              <w:top w:val="nil"/>
              <w:left w:val="single" w:sz="4" w:space="0" w:color="auto"/>
              <w:bottom w:val="single" w:sz="4" w:space="0" w:color="auto"/>
              <w:right w:val="single" w:sz="4" w:space="0" w:color="auto"/>
            </w:tcBorders>
            <w:shd w:val="clear" w:color="auto" w:fill="ED7D31" w:themeFill="accent2"/>
            <w:vAlign w:val="center"/>
            <w:hideMark/>
          </w:tcPr>
          <w:p w:rsidR="00632D2C" w:rsidRPr="003B1FCE" w:rsidRDefault="00632D2C" w:rsidP="0007356A">
            <w:pPr>
              <w:jc w:val="center"/>
              <w:rPr>
                <w:rFonts w:ascii="Arial" w:hAnsi="Arial" w:cs="Arial"/>
                <w:b/>
                <w:bCs/>
                <w:color w:val="000000"/>
                <w:sz w:val="20"/>
                <w:szCs w:val="20"/>
              </w:rPr>
            </w:pPr>
            <w:r w:rsidRPr="003B1FCE">
              <w:rPr>
                <w:rFonts w:ascii="Arial" w:hAnsi="Arial" w:cs="Arial"/>
                <w:b/>
                <w:bCs/>
                <w:color w:val="000000"/>
                <w:sz w:val="20"/>
                <w:szCs w:val="20"/>
              </w:rPr>
              <w:t>No.</w:t>
            </w:r>
          </w:p>
        </w:tc>
        <w:tc>
          <w:tcPr>
            <w:tcW w:w="5136" w:type="dxa"/>
            <w:tcBorders>
              <w:top w:val="nil"/>
              <w:left w:val="nil"/>
              <w:bottom w:val="single" w:sz="4" w:space="0" w:color="auto"/>
              <w:right w:val="single" w:sz="4" w:space="0" w:color="auto"/>
            </w:tcBorders>
            <w:shd w:val="clear" w:color="auto" w:fill="ED7D31" w:themeFill="accent2"/>
            <w:vAlign w:val="center"/>
            <w:hideMark/>
          </w:tcPr>
          <w:p w:rsidR="00632D2C" w:rsidRPr="003B1FCE" w:rsidRDefault="00632D2C" w:rsidP="0007356A">
            <w:pPr>
              <w:jc w:val="center"/>
              <w:rPr>
                <w:rFonts w:ascii="Arial" w:hAnsi="Arial" w:cs="Arial"/>
                <w:b/>
                <w:bCs/>
                <w:color w:val="000000"/>
                <w:sz w:val="20"/>
                <w:szCs w:val="20"/>
              </w:rPr>
            </w:pPr>
            <w:r w:rsidRPr="003B1FCE">
              <w:rPr>
                <w:rFonts w:ascii="Arial" w:hAnsi="Arial" w:cs="Arial"/>
                <w:b/>
                <w:bCs/>
                <w:color w:val="000000"/>
                <w:sz w:val="20"/>
                <w:szCs w:val="20"/>
              </w:rPr>
              <w:t>Sujeto obligado</w:t>
            </w:r>
          </w:p>
        </w:tc>
        <w:tc>
          <w:tcPr>
            <w:tcW w:w="1123" w:type="dxa"/>
            <w:tcBorders>
              <w:top w:val="nil"/>
              <w:left w:val="nil"/>
              <w:bottom w:val="single" w:sz="4" w:space="0" w:color="auto"/>
              <w:right w:val="single" w:sz="4" w:space="0" w:color="auto"/>
            </w:tcBorders>
            <w:shd w:val="clear" w:color="auto" w:fill="ED7D31" w:themeFill="accent2"/>
            <w:vAlign w:val="center"/>
            <w:hideMark/>
          </w:tcPr>
          <w:p w:rsidR="00632D2C" w:rsidRPr="003B1FCE" w:rsidRDefault="00632D2C" w:rsidP="0007356A">
            <w:pPr>
              <w:jc w:val="center"/>
              <w:rPr>
                <w:rFonts w:ascii="Arial" w:hAnsi="Arial" w:cs="Arial"/>
                <w:b/>
                <w:bCs/>
                <w:color w:val="000000"/>
                <w:sz w:val="20"/>
                <w:szCs w:val="20"/>
              </w:rPr>
            </w:pPr>
            <w:r w:rsidRPr="003B1FCE">
              <w:rPr>
                <w:rFonts w:ascii="Arial" w:hAnsi="Arial" w:cs="Arial"/>
                <w:b/>
                <w:bCs/>
                <w:color w:val="000000"/>
                <w:sz w:val="20"/>
                <w:szCs w:val="20"/>
              </w:rPr>
              <w:t>ICOT-PI</w:t>
            </w:r>
          </w:p>
        </w:tc>
        <w:tc>
          <w:tcPr>
            <w:tcW w:w="1263" w:type="dxa"/>
            <w:tcBorders>
              <w:top w:val="nil"/>
              <w:left w:val="nil"/>
              <w:bottom w:val="single" w:sz="4" w:space="0" w:color="auto"/>
              <w:right w:val="single" w:sz="4" w:space="0" w:color="auto"/>
            </w:tcBorders>
            <w:shd w:val="clear" w:color="auto" w:fill="ED7D31" w:themeFill="accent2"/>
            <w:vAlign w:val="center"/>
            <w:hideMark/>
          </w:tcPr>
          <w:p w:rsidR="00632D2C" w:rsidRPr="003B1FCE" w:rsidRDefault="00632D2C" w:rsidP="0007356A">
            <w:pPr>
              <w:jc w:val="center"/>
              <w:rPr>
                <w:rFonts w:ascii="Arial" w:hAnsi="Arial" w:cs="Arial"/>
                <w:b/>
                <w:bCs/>
                <w:color w:val="000000"/>
                <w:sz w:val="20"/>
                <w:szCs w:val="20"/>
              </w:rPr>
            </w:pPr>
            <w:r w:rsidRPr="003B1FCE">
              <w:rPr>
                <w:rFonts w:ascii="Arial" w:hAnsi="Arial" w:cs="Arial"/>
                <w:b/>
                <w:bCs/>
                <w:color w:val="000000"/>
                <w:sz w:val="20"/>
                <w:szCs w:val="20"/>
              </w:rPr>
              <w:t>ICOT-PNT</w:t>
            </w:r>
          </w:p>
        </w:tc>
        <w:tc>
          <w:tcPr>
            <w:tcW w:w="875" w:type="dxa"/>
            <w:tcBorders>
              <w:top w:val="nil"/>
              <w:left w:val="nil"/>
              <w:bottom w:val="single" w:sz="4" w:space="0" w:color="auto"/>
              <w:right w:val="single" w:sz="4" w:space="0" w:color="auto"/>
            </w:tcBorders>
            <w:shd w:val="clear" w:color="auto" w:fill="ED7D31" w:themeFill="accent2"/>
            <w:vAlign w:val="center"/>
            <w:hideMark/>
          </w:tcPr>
          <w:p w:rsidR="00632D2C" w:rsidRPr="003B1FCE" w:rsidRDefault="00632D2C" w:rsidP="0007356A">
            <w:pPr>
              <w:jc w:val="center"/>
              <w:rPr>
                <w:rFonts w:ascii="Arial" w:hAnsi="Arial" w:cs="Arial"/>
                <w:b/>
                <w:bCs/>
                <w:color w:val="000000"/>
                <w:sz w:val="20"/>
                <w:szCs w:val="20"/>
              </w:rPr>
            </w:pPr>
            <w:r w:rsidRPr="003B1FCE">
              <w:rPr>
                <w:rFonts w:ascii="Arial" w:hAnsi="Arial" w:cs="Arial"/>
                <w:b/>
                <w:bCs/>
                <w:color w:val="000000"/>
                <w:sz w:val="20"/>
                <w:szCs w:val="20"/>
              </w:rPr>
              <w:t>IGOT</w:t>
            </w:r>
          </w:p>
        </w:tc>
      </w:tr>
      <w:tr w:rsidR="002D2A1D" w:rsidRPr="003B1FCE" w:rsidTr="002D2A1D">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2D2A1D" w:rsidRPr="003B1FCE" w:rsidRDefault="002D2A1D" w:rsidP="002D2A1D">
            <w:pPr>
              <w:jc w:val="center"/>
              <w:rPr>
                <w:rFonts w:ascii="Arial" w:hAnsi="Arial" w:cs="Arial"/>
                <w:color w:val="000000"/>
                <w:sz w:val="20"/>
                <w:szCs w:val="20"/>
              </w:rPr>
            </w:pPr>
            <w:r w:rsidRPr="003B1FCE">
              <w:rPr>
                <w:rFonts w:ascii="Arial" w:hAnsi="Arial" w:cs="Arial"/>
                <w:color w:val="000000"/>
                <w:sz w:val="20"/>
                <w:szCs w:val="20"/>
              </w:rPr>
              <w:t>1</w:t>
            </w:r>
          </w:p>
        </w:tc>
        <w:tc>
          <w:tcPr>
            <w:tcW w:w="5136" w:type="dxa"/>
            <w:tcBorders>
              <w:top w:val="nil"/>
              <w:left w:val="nil"/>
              <w:bottom w:val="single" w:sz="4" w:space="0" w:color="auto"/>
              <w:right w:val="single" w:sz="4" w:space="0" w:color="auto"/>
            </w:tcBorders>
            <w:shd w:val="clear" w:color="auto" w:fill="auto"/>
            <w:vAlign w:val="center"/>
            <w:hideMark/>
          </w:tcPr>
          <w:p w:rsidR="002D2A1D" w:rsidRPr="003B1FCE" w:rsidRDefault="002D2A1D" w:rsidP="002D2A1D">
            <w:pPr>
              <w:rPr>
                <w:rFonts w:ascii="Arial" w:hAnsi="Arial" w:cs="Arial"/>
                <w:color w:val="000000"/>
                <w:sz w:val="20"/>
                <w:szCs w:val="20"/>
              </w:rPr>
            </w:pPr>
            <w:r w:rsidRPr="003B1FCE">
              <w:rPr>
                <w:rFonts w:ascii="Arial" w:hAnsi="Arial" w:cs="Arial"/>
                <w:color w:val="000000"/>
                <w:sz w:val="20"/>
                <w:szCs w:val="20"/>
              </w:rPr>
              <w:t>Consejo de la Judicatura de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2D2A1D" w:rsidRPr="003B1FCE" w:rsidRDefault="002D2A1D" w:rsidP="002D2A1D">
            <w:pPr>
              <w:jc w:val="center"/>
              <w:rPr>
                <w:rFonts w:ascii="Arial" w:hAnsi="Arial" w:cs="Arial"/>
                <w:color w:val="000000"/>
                <w:sz w:val="20"/>
                <w:szCs w:val="20"/>
              </w:rPr>
            </w:pPr>
            <w:r w:rsidRPr="003B1FCE">
              <w:rPr>
                <w:rFonts w:ascii="Arial" w:hAnsi="Arial" w:cs="Arial"/>
                <w:color w:val="000000"/>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2D2A1D" w:rsidRPr="003B1FCE" w:rsidRDefault="002D2A1D" w:rsidP="002D2A1D">
            <w:pPr>
              <w:jc w:val="center"/>
              <w:rPr>
                <w:rFonts w:ascii="Arial" w:hAnsi="Arial" w:cs="Arial"/>
                <w:color w:val="000000"/>
                <w:sz w:val="20"/>
                <w:szCs w:val="20"/>
              </w:rPr>
            </w:pPr>
            <w:r w:rsidRPr="003B1FCE">
              <w:rPr>
                <w:rFonts w:ascii="Arial" w:hAnsi="Arial" w:cs="Arial"/>
                <w:color w:val="000000"/>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2D2A1D" w:rsidRPr="003B1FCE" w:rsidRDefault="002D2A1D" w:rsidP="002D2A1D">
            <w:pPr>
              <w:jc w:val="center"/>
              <w:rPr>
                <w:rFonts w:ascii="Arial" w:hAnsi="Arial" w:cs="Arial"/>
                <w:color w:val="000000"/>
                <w:sz w:val="20"/>
                <w:szCs w:val="20"/>
              </w:rPr>
            </w:pPr>
            <w:r w:rsidRPr="003B1FCE">
              <w:rPr>
                <w:rFonts w:ascii="Arial" w:hAnsi="Arial" w:cs="Arial"/>
                <w:color w:val="000000"/>
                <w:sz w:val="20"/>
                <w:szCs w:val="20"/>
              </w:rPr>
              <w:t>100.00</w:t>
            </w:r>
          </w:p>
        </w:tc>
      </w:tr>
      <w:tr w:rsidR="002D2A1D" w:rsidRPr="003B1FCE" w:rsidTr="002D2A1D">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2D2A1D" w:rsidRPr="003B1FCE" w:rsidRDefault="002D2A1D" w:rsidP="002D2A1D">
            <w:pPr>
              <w:jc w:val="center"/>
              <w:rPr>
                <w:rFonts w:ascii="Arial" w:hAnsi="Arial" w:cs="Arial"/>
                <w:color w:val="000000"/>
                <w:sz w:val="20"/>
                <w:szCs w:val="20"/>
              </w:rPr>
            </w:pPr>
            <w:r w:rsidRPr="003B1FCE">
              <w:rPr>
                <w:rFonts w:ascii="Arial" w:hAnsi="Arial" w:cs="Arial"/>
                <w:color w:val="000000"/>
                <w:sz w:val="20"/>
                <w:szCs w:val="20"/>
              </w:rPr>
              <w:t>2</w:t>
            </w:r>
          </w:p>
        </w:tc>
        <w:tc>
          <w:tcPr>
            <w:tcW w:w="5136" w:type="dxa"/>
            <w:tcBorders>
              <w:top w:val="nil"/>
              <w:left w:val="nil"/>
              <w:bottom w:val="single" w:sz="4" w:space="0" w:color="auto"/>
              <w:right w:val="single" w:sz="4" w:space="0" w:color="auto"/>
            </w:tcBorders>
            <w:shd w:val="clear" w:color="auto" w:fill="auto"/>
            <w:vAlign w:val="center"/>
            <w:hideMark/>
          </w:tcPr>
          <w:p w:rsidR="002D2A1D" w:rsidRPr="003B1FCE" w:rsidRDefault="002D2A1D" w:rsidP="002D2A1D">
            <w:pPr>
              <w:rPr>
                <w:rFonts w:ascii="Arial" w:hAnsi="Arial" w:cs="Arial"/>
                <w:color w:val="000000"/>
                <w:sz w:val="20"/>
                <w:szCs w:val="20"/>
              </w:rPr>
            </w:pPr>
            <w:r w:rsidRPr="003B1FCE">
              <w:rPr>
                <w:rFonts w:ascii="Arial" w:hAnsi="Arial" w:cs="Arial"/>
                <w:color w:val="000000"/>
                <w:sz w:val="20"/>
                <w:szCs w:val="20"/>
              </w:rPr>
              <w:t>Tribunal Superior de Justicia de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2D2A1D" w:rsidRPr="003B1FCE" w:rsidRDefault="002D2A1D" w:rsidP="002D2A1D">
            <w:pPr>
              <w:jc w:val="center"/>
              <w:rPr>
                <w:rFonts w:ascii="Arial" w:hAnsi="Arial" w:cs="Arial"/>
                <w:color w:val="000000"/>
                <w:sz w:val="20"/>
                <w:szCs w:val="20"/>
              </w:rPr>
            </w:pPr>
            <w:r w:rsidRPr="003B1FCE">
              <w:rPr>
                <w:rFonts w:ascii="Arial" w:hAnsi="Arial" w:cs="Arial"/>
                <w:color w:val="000000"/>
                <w:sz w:val="20"/>
                <w:szCs w:val="20"/>
              </w:rPr>
              <w:t>99.00</w:t>
            </w:r>
          </w:p>
        </w:tc>
        <w:tc>
          <w:tcPr>
            <w:tcW w:w="1263" w:type="dxa"/>
            <w:tcBorders>
              <w:top w:val="nil"/>
              <w:left w:val="nil"/>
              <w:bottom w:val="single" w:sz="4" w:space="0" w:color="auto"/>
              <w:right w:val="single" w:sz="4" w:space="0" w:color="auto"/>
            </w:tcBorders>
            <w:shd w:val="clear" w:color="auto" w:fill="auto"/>
            <w:vAlign w:val="center"/>
            <w:hideMark/>
          </w:tcPr>
          <w:p w:rsidR="002D2A1D" w:rsidRPr="003B1FCE" w:rsidRDefault="002D2A1D" w:rsidP="002D2A1D">
            <w:pPr>
              <w:jc w:val="center"/>
              <w:rPr>
                <w:rFonts w:ascii="Arial" w:hAnsi="Arial" w:cs="Arial"/>
                <w:color w:val="000000"/>
                <w:sz w:val="20"/>
                <w:szCs w:val="20"/>
              </w:rPr>
            </w:pPr>
            <w:r w:rsidRPr="003B1FCE">
              <w:rPr>
                <w:rFonts w:ascii="Arial" w:hAnsi="Arial" w:cs="Arial"/>
                <w:color w:val="000000"/>
                <w:sz w:val="20"/>
                <w:szCs w:val="20"/>
              </w:rPr>
              <w:t>98.99</w:t>
            </w:r>
          </w:p>
        </w:tc>
        <w:tc>
          <w:tcPr>
            <w:tcW w:w="875" w:type="dxa"/>
            <w:tcBorders>
              <w:top w:val="nil"/>
              <w:left w:val="nil"/>
              <w:bottom w:val="single" w:sz="4" w:space="0" w:color="auto"/>
              <w:right w:val="single" w:sz="4" w:space="0" w:color="auto"/>
            </w:tcBorders>
            <w:shd w:val="clear" w:color="auto" w:fill="auto"/>
            <w:vAlign w:val="center"/>
            <w:hideMark/>
          </w:tcPr>
          <w:p w:rsidR="002D2A1D" w:rsidRPr="003B1FCE" w:rsidRDefault="002D2A1D" w:rsidP="002D2A1D">
            <w:pPr>
              <w:jc w:val="center"/>
              <w:rPr>
                <w:rFonts w:ascii="Arial" w:hAnsi="Arial" w:cs="Arial"/>
                <w:color w:val="000000"/>
                <w:sz w:val="20"/>
                <w:szCs w:val="20"/>
              </w:rPr>
            </w:pPr>
            <w:r w:rsidRPr="003B1FCE">
              <w:rPr>
                <w:rFonts w:ascii="Arial" w:hAnsi="Arial" w:cs="Arial"/>
                <w:color w:val="000000"/>
                <w:sz w:val="20"/>
                <w:szCs w:val="20"/>
              </w:rPr>
              <w:t>98.99</w:t>
            </w:r>
          </w:p>
        </w:tc>
      </w:tr>
    </w:tbl>
    <w:p w:rsidR="00632D2C" w:rsidRPr="003B1FCE" w:rsidRDefault="00632D2C" w:rsidP="00632D2C">
      <w:pPr>
        <w:spacing w:before="100" w:beforeAutospacing="1" w:after="100" w:afterAutospacing="1" w:line="360" w:lineRule="auto"/>
        <w:contextualSpacing/>
        <w:jc w:val="both"/>
        <w:rPr>
          <w:rFonts w:ascii="Arial" w:hAnsi="Arial" w:cs="Arial"/>
          <w:sz w:val="16"/>
          <w:szCs w:val="16"/>
        </w:rPr>
      </w:pPr>
      <w:r w:rsidRPr="003B1FCE">
        <w:rPr>
          <w:rFonts w:ascii="Arial" w:hAnsi="Arial" w:cs="Arial"/>
          <w:b/>
          <w:sz w:val="16"/>
          <w:szCs w:val="16"/>
        </w:rPr>
        <w:t>Nota metodológica</w:t>
      </w:r>
      <w:r w:rsidRPr="003B1FCE">
        <w:rPr>
          <w:rFonts w:ascii="Arial" w:hAnsi="Arial" w:cs="Arial"/>
          <w:sz w:val="16"/>
          <w:szCs w:val="16"/>
        </w:rPr>
        <w:t xml:space="preserve">: </w:t>
      </w:r>
    </w:p>
    <w:p w:rsidR="00632D2C" w:rsidRPr="003B1FCE" w:rsidRDefault="00632D2C" w:rsidP="00632D2C">
      <w:pPr>
        <w:spacing w:before="100" w:beforeAutospacing="1" w:after="100" w:afterAutospacing="1" w:line="360" w:lineRule="auto"/>
        <w:contextualSpacing/>
        <w:jc w:val="both"/>
        <w:rPr>
          <w:rFonts w:ascii="Arial" w:hAnsi="Arial" w:cs="Arial"/>
          <w:sz w:val="16"/>
          <w:szCs w:val="16"/>
        </w:rPr>
      </w:pPr>
      <w:r w:rsidRPr="003B1FCE">
        <w:rPr>
          <w:rFonts w:ascii="Arial" w:hAnsi="Arial" w:cs="Arial"/>
          <w:sz w:val="16"/>
          <w:szCs w:val="16"/>
        </w:rPr>
        <w:t>El IGOT se compone del promedio de ICOT-PI e ICOT-PNT.</w:t>
      </w:r>
    </w:p>
    <w:p w:rsidR="00632D2C" w:rsidRPr="003B1FCE" w:rsidRDefault="00632D2C" w:rsidP="00632D2C">
      <w:pPr>
        <w:spacing w:before="100" w:beforeAutospacing="1" w:after="100" w:afterAutospacing="1" w:line="360" w:lineRule="auto"/>
        <w:contextualSpacing/>
        <w:jc w:val="both"/>
        <w:rPr>
          <w:rFonts w:ascii="Arial" w:hAnsi="Arial" w:cs="Arial"/>
          <w:color w:val="000000"/>
          <w:sz w:val="16"/>
          <w:szCs w:val="16"/>
        </w:rPr>
      </w:pPr>
      <w:r w:rsidRPr="003B1FCE">
        <w:rPr>
          <w:rFonts w:ascii="Arial" w:hAnsi="Arial" w:cs="Arial"/>
          <w:b/>
          <w:bCs/>
          <w:color w:val="000000"/>
          <w:sz w:val="16"/>
          <w:szCs w:val="16"/>
        </w:rPr>
        <w:t>%</w:t>
      </w:r>
      <w:proofErr w:type="spellStart"/>
      <w:r w:rsidRPr="003B1FCE">
        <w:rPr>
          <w:rFonts w:ascii="Arial" w:hAnsi="Arial" w:cs="Arial"/>
          <w:b/>
          <w:bCs/>
          <w:color w:val="000000"/>
          <w:sz w:val="16"/>
          <w:szCs w:val="16"/>
        </w:rPr>
        <w:t>Inf</w:t>
      </w:r>
      <w:proofErr w:type="spellEnd"/>
      <w:r w:rsidRPr="003B1FCE">
        <w:rPr>
          <w:rFonts w:ascii="Arial" w:hAnsi="Arial" w:cs="Arial"/>
          <w:b/>
          <w:bCs/>
          <w:color w:val="000000"/>
          <w:sz w:val="16"/>
          <w:szCs w:val="16"/>
        </w:rPr>
        <w:t xml:space="preserve"> PI:</w:t>
      </w:r>
      <w:r w:rsidRPr="003B1FCE">
        <w:rPr>
          <w:rFonts w:ascii="Arial" w:hAnsi="Arial" w:cs="Arial"/>
          <w:color w:val="000000"/>
          <w:sz w:val="16"/>
          <w:szCs w:val="16"/>
        </w:rPr>
        <w:t xml:space="preserve"> corresponde al porcentaje del índice que hace referencia a la información que se encuentra publicada y actualizada en el Portal de Internet (PI) del sujeto obligado. </w:t>
      </w:r>
    </w:p>
    <w:p w:rsidR="00632D2C" w:rsidRPr="003B1FCE" w:rsidRDefault="00632D2C" w:rsidP="00632D2C">
      <w:pPr>
        <w:spacing w:before="100" w:beforeAutospacing="1" w:after="100" w:afterAutospacing="1" w:line="360" w:lineRule="auto"/>
        <w:contextualSpacing/>
        <w:jc w:val="both"/>
        <w:rPr>
          <w:rFonts w:ascii="Arial" w:hAnsi="Arial" w:cs="Arial"/>
          <w:color w:val="000000"/>
          <w:sz w:val="16"/>
          <w:szCs w:val="16"/>
        </w:rPr>
      </w:pPr>
      <w:r w:rsidRPr="003B1FCE">
        <w:rPr>
          <w:rFonts w:ascii="Arial" w:hAnsi="Arial" w:cs="Arial"/>
          <w:b/>
          <w:bCs/>
          <w:color w:val="000000"/>
          <w:sz w:val="16"/>
          <w:szCs w:val="16"/>
        </w:rPr>
        <w:t>%</w:t>
      </w:r>
      <w:proofErr w:type="spellStart"/>
      <w:r w:rsidRPr="003B1FCE">
        <w:rPr>
          <w:rFonts w:ascii="Arial" w:hAnsi="Arial" w:cs="Arial"/>
          <w:b/>
          <w:bCs/>
          <w:color w:val="000000"/>
          <w:sz w:val="16"/>
          <w:szCs w:val="16"/>
        </w:rPr>
        <w:t>Inf</w:t>
      </w:r>
      <w:proofErr w:type="spellEnd"/>
      <w:r w:rsidRPr="003B1FCE">
        <w:rPr>
          <w:rFonts w:ascii="Arial" w:hAnsi="Arial" w:cs="Arial"/>
          <w:b/>
          <w:bCs/>
          <w:color w:val="000000"/>
          <w:sz w:val="16"/>
          <w:szCs w:val="16"/>
        </w:rPr>
        <w:t xml:space="preserve"> PNT:</w:t>
      </w:r>
      <w:r w:rsidRPr="003B1FCE">
        <w:rPr>
          <w:rFonts w:ascii="Arial" w:hAnsi="Arial" w:cs="Arial"/>
          <w:color w:val="000000"/>
          <w:sz w:val="16"/>
          <w:szCs w:val="16"/>
        </w:rPr>
        <w:t xml:space="preserve"> corresponde al porcentaje del índice que hace referencia a la información que se encuentra publicada y actualizada en la Plataforma Nacional de Transparencia (PNT) del sujeto obligado.</w:t>
      </w:r>
    </w:p>
    <w:p w:rsidR="00632D2C" w:rsidRPr="003B1FCE" w:rsidRDefault="00632D2C" w:rsidP="00632D2C">
      <w:pPr>
        <w:spacing w:before="100" w:beforeAutospacing="1" w:after="100" w:afterAutospacing="1" w:line="360" w:lineRule="auto"/>
        <w:contextualSpacing/>
        <w:jc w:val="both"/>
        <w:rPr>
          <w:rFonts w:ascii="Arial" w:hAnsi="Arial" w:cs="Arial"/>
          <w:color w:val="000000"/>
          <w:sz w:val="16"/>
          <w:szCs w:val="16"/>
        </w:rPr>
      </w:pPr>
      <w:r w:rsidRPr="003B1FCE">
        <w:rPr>
          <w:rFonts w:ascii="Arial" w:hAnsi="Arial" w:cs="Arial"/>
          <w:b/>
          <w:bCs/>
          <w:color w:val="000000"/>
          <w:sz w:val="16"/>
          <w:szCs w:val="16"/>
        </w:rPr>
        <w:t>%</w:t>
      </w:r>
      <w:proofErr w:type="spellStart"/>
      <w:r w:rsidRPr="003B1FCE">
        <w:rPr>
          <w:rFonts w:ascii="Arial" w:hAnsi="Arial" w:cs="Arial"/>
          <w:b/>
          <w:bCs/>
          <w:color w:val="000000"/>
          <w:sz w:val="16"/>
          <w:szCs w:val="16"/>
        </w:rPr>
        <w:t>Inf</w:t>
      </w:r>
      <w:proofErr w:type="spellEnd"/>
      <w:r w:rsidRPr="003B1FCE">
        <w:rPr>
          <w:rFonts w:ascii="Arial" w:hAnsi="Arial" w:cs="Arial"/>
          <w:b/>
          <w:bCs/>
          <w:color w:val="000000"/>
          <w:sz w:val="16"/>
          <w:szCs w:val="16"/>
        </w:rPr>
        <w:t xml:space="preserve"> IGOT: </w:t>
      </w:r>
      <w:r w:rsidRPr="003B1FCE">
        <w:rPr>
          <w:rFonts w:ascii="Arial" w:hAnsi="Arial" w:cs="Arial"/>
          <w:color w:val="000000"/>
          <w:sz w:val="16"/>
          <w:szCs w:val="16"/>
        </w:rPr>
        <w:t>corresponde al porcentaje del índice que hace referencia a la información que se encuentra publicada y actualizada tanto en la PNT y el PI del sujeto obligado.</w:t>
      </w:r>
    </w:p>
    <w:p w:rsidR="00632D2C" w:rsidRPr="003B1FCE" w:rsidRDefault="00632D2C" w:rsidP="00632D2C">
      <w:pPr>
        <w:spacing w:before="100" w:beforeAutospacing="1" w:after="100" w:afterAutospacing="1" w:line="360" w:lineRule="auto"/>
        <w:contextualSpacing/>
        <w:jc w:val="both"/>
        <w:rPr>
          <w:rFonts w:ascii="Arial" w:hAnsi="Arial" w:cs="Arial"/>
          <w:color w:val="000000"/>
        </w:rPr>
      </w:pPr>
    </w:p>
    <w:p w:rsidR="00632D2C" w:rsidRPr="003B1FCE" w:rsidRDefault="00632D2C" w:rsidP="00632D2C">
      <w:pPr>
        <w:spacing w:before="100" w:beforeAutospacing="1" w:after="100" w:afterAutospacing="1" w:line="360" w:lineRule="auto"/>
        <w:contextualSpacing/>
        <w:jc w:val="both"/>
        <w:rPr>
          <w:rFonts w:ascii="Arial" w:hAnsi="Arial" w:cs="Arial"/>
          <w:color w:val="000000"/>
        </w:rPr>
      </w:pPr>
      <w:r w:rsidRPr="003B1FCE">
        <w:rPr>
          <w:rFonts w:ascii="Arial" w:hAnsi="Arial" w:cs="Arial"/>
        </w:rPr>
        <w:lastRenderedPageBreak/>
        <w:t xml:space="preserve">En atención a la Tabla de Aplicabilidad realizada por la DEAEE del Instituto, las obligaciones que el Poder </w:t>
      </w:r>
      <w:r w:rsidR="002D2A1D" w:rsidRPr="003B1FCE">
        <w:rPr>
          <w:rFonts w:ascii="Arial" w:hAnsi="Arial" w:cs="Arial"/>
        </w:rPr>
        <w:t>Judicial</w:t>
      </w:r>
      <w:r w:rsidRPr="003B1FCE">
        <w:rPr>
          <w:rFonts w:ascii="Arial" w:hAnsi="Arial" w:cs="Arial"/>
        </w:rPr>
        <w:t xml:space="preserve"> debe actualizar y publicar en el SIPOT de la PNT, así como en sus respectivos portales de internet son las contempladas en los siguientes artículos: </w:t>
      </w:r>
    </w:p>
    <w:p w:rsidR="00632D2C" w:rsidRPr="003B1FCE" w:rsidRDefault="00632D2C" w:rsidP="002D2A1D">
      <w:pPr>
        <w:pStyle w:val="Prrafodelista"/>
        <w:numPr>
          <w:ilvl w:val="0"/>
          <w:numId w:val="7"/>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121. Obligaciones comunes, </w:t>
      </w:r>
    </w:p>
    <w:p w:rsidR="00632D2C" w:rsidRPr="003B1FCE" w:rsidRDefault="00632D2C" w:rsidP="002D2A1D">
      <w:pPr>
        <w:pStyle w:val="Prrafodelista"/>
        <w:numPr>
          <w:ilvl w:val="0"/>
          <w:numId w:val="7"/>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Artículo 12</w:t>
      </w:r>
      <w:r w:rsidR="002D2A1D" w:rsidRPr="003B1FCE">
        <w:rPr>
          <w:rFonts w:ascii="Arial" w:hAnsi="Arial" w:cs="Arial"/>
          <w:sz w:val="24"/>
          <w:szCs w:val="24"/>
        </w:rPr>
        <w:t>6</w:t>
      </w:r>
      <w:r w:rsidRPr="003B1FCE">
        <w:rPr>
          <w:rFonts w:ascii="Arial" w:hAnsi="Arial" w:cs="Arial"/>
          <w:sz w:val="24"/>
          <w:szCs w:val="24"/>
        </w:rPr>
        <w:t xml:space="preserve">. Obligaciones Específicas del Poder </w:t>
      </w:r>
      <w:r w:rsidR="002D2A1D" w:rsidRPr="003B1FCE">
        <w:rPr>
          <w:rFonts w:ascii="Arial" w:hAnsi="Arial" w:cs="Arial"/>
          <w:sz w:val="24"/>
          <w:szCs w:val="24"/>
        </w:rPr>
        <w:t>Judicial</w:t>
      </w:r>
      <w:r w:rsidRPr="003B1FCE">
        <w:rPr>
          <w:rFonts w:ascii="Arial" w:hAnsi="Arial" w:cs="Arial"/>
          <w:sz w:val="24"/>
          <w:szCs w:val="24"/>
        </w:rPr>
        <w:t xml:space="preserve">, </w:t>
      </w:r>
    </w:p>
    <w:p w:rsidR="00632D2C" w:rsidRPr="003B1FCE" w:rsidRDefault="00632D2C" w:rsidP="002D2A1D">
      <w:pPr>
        <w:pStyle w:val="Prrafodelista"/>
        <w:numPr>
          <w:ilvl w:val="0"/>
          <w:numId w:val="7"/>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Artículo 143. Disposiciones Particulares,</w:t>
      </w:r>
    </w:p>
    <w:p w:rsidR="00632D2C" w:rsidRPr="003B1FCE" w:rsidRDefault="00632D2C" w:rsidP="002D2A1D">
      <w:pPr>
        <w:pStyle w:val="Prrafodelista"/>
        <w:numPr>
          <w:ilvl w:val="0"/>
          <w:numId w:val="7"/>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145. Disposiciones Particulares, </w:t>
      </w:r>
    </w:p>
    <w:p w:rsidR="00632D2C" w:rsidRPr="003B1FCE" w:rsidRDefault="00632D2C" w:rsidP="002D2A1D">
      <w:pPr>
        <w:pStyle w:val="Prrafodelista"/>
        <w:numPr>
          <w:ilvl w:val="0"/>
          <w:numId w:val="7"/>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146. Disposiciones Particulares, </w:t>
      </w:r>
    </w:p>
    <w:p w:rsidR="00632D2C" w:rsidRPr="003B1FCE" w:rsidRDefault="00632D2C" w:rsidP="002D2A1D">
      <w:pPr>
        <w:pStyle w:val="Prrafodelista"/>
        <w:numPr>
          <w:ilvl w:val="0"/>
          <w:numId w:val="7"/>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147. Disposiciones Particulares. </w:t>
      </w:r>
    </w:p>
    <w:p w:rsidR="00632D2C" w:rsidRPr="003B1FCE" w:rsidRDefault="00632D2C" w:rsidP="00FF7BD9">
      <w:pPr>
        <w:pStyle w:val="Ttulo2"/>
        <w:contextualSpacing/>
        <w:jc w:val="both"/>
        <w:rPr>
          <w:rFonts w:ascii="Arial" w:hAnsi="Arial" w:cs="Arial"/>
          <w:b/>
          <w:color w:val="auto"/>
          <w:sz w:val="24"/>
          <w:szCs w:val="24"/>
        </w:rPr>
      </w:pPr>
      <w:bookmarkStart w:id="22" w:name="_Toc26913261"/>
      <w:r w:rsidRPr="003B1FCE">
        <w:rPr>
          <w:rFonts w:ascii="Arial" w:hAnsi="Arial" w:cs="Arial"/>
          <w:b/>
          <w:color w:val="auto"/>
          <w:sz w:val="24"/>
          <w:szCs w:val="24"/>
        </w:rPr>
        <w:t xml:space="preserve">Análisis global de cumplimiento </w:t>
      </w:r>
      <w:r w:rsidR="004903C6" w:rsidRPr="003B1FCE">
        <w:rPr>
          <w:rFonts w:ascii="Arial" w:hAnsi="Arial" w:cs="Arial"/>
          <w:b/>
          <w:color w:val="auto"/>
          <w:sz w:val="24"/>
          <w:szCs w:val="24"/>
        </w:rPr>
        <w:t>del Poder Judicial</w:t>
      </w:r>
      <w:bookmarkEnd w:id="22"/>
    </w:p>
    <w:p w:rsidR="00632D2C" w:rsidRPr="003B1FCE" w:rsidRDefault="00632D2C" w:rsidP="00632D2C">
      <w:pPr>
        <w:rPr>
          <w:rFonts w:ascii="Arial" w:hAnsi="Arial" w:cs="Arial"/>
        </w:rPr>
      </w:pPr>
    </w:p>
    <w:p w:rsidR="00632D2C" w:rsidRPr="003B1FCE" w:rsidRDefault="00632D2C" w:rsidP="00632D2C">
      <w:pPr>
        <w:spacing w:before="100" w:beforeAutospacing="1" w:after="100" w:afterAutospacing="1" w:line="360" w:lineRule="auto"/>
        <w:contextualSpacing/>
        <w:jc w:val="both"/>
        <w:rPr>
          <w:rFonts w:ascii="Arial" w:hAnsi="Arial" w:cs="Arial"/>
          <w:u w:val="single"/>
        </w:rPr>
      </w:pPr>
      <w:r w:rsidRPr="003B1FCE">
        <w:rPr>
          <w:rFonts w:ascii="Arial" w:hAnsi="Arial" w:cs="Arial"/>
          <w:u w:val="single"/>
        </w:rPr>
        <w:t>Índices Globales de Cumplimiento de las obligaciones de transparencia</w:t>
      </w:r>
    </w:p>
    <w:p w:rsidR="00632D2C" w:rsidRPr="003B1FCE" w:rsidRDefault="00632D2C" w:rsidP="00632D2C">
      <w:pPr>
        <w:spacing w:before="100" w:beforeAutospacing="1" w:after="100" w:afterAutospacing="1" w:line="360" w:lineRule="auto"/>
        <w:contextualSpacing/>
        <w:jc w:val="both"/>
        <w:rPr>
          <w:rFonts w:ascii="Arial" w:hAnsi="Arial" w:cs="Arial"/>
        </w:rPr>
      </w:pPr>
    </w:p>
    <w:p w:rsidR="00632D2C" w:rsidRPr="003B1FCE" w:rsidRDefault="00632D2C" w:rsidP="00632D2C">
      <w:pPr>
        <w:spacing w:before="100" w:beforeAutospacing="1" w:after="100" w:afterAutospacing="1" w:line="360" w:lineRule="auto"/>
        <w:contextualSpacing/>
        <w:jc w:val="both"/>
        <w:rPr>
          <w:rFonts w:ascii="Arial" w:hAnsi="Arial" w:cs="Arial"/>
        </w:rPr>
      </w:pPr>
      <w:r w:rsidRPr="003B1FCE">
        <w:rPr>
          <w:rFonts w:ascii="Arial" w:hAnsi="Arial" w:cs="Arial"/>
        </w:rPr>
        <w:t xml:space="preserve">El ámbito del Poder </w:t>
      </w:r>
      <w:r w:rsidR="004903C6" w:rsidRPr="003B1FCE">
        <w:rPr>
          <w:rFonts w:ascii="Arial" w:hAnsi="Arial" w:cs="Arial"/>
        </w:rPr>
        <w:t>Judicial</w:t>
      </w:r>
      <w:r w:rsidRPr="003B1FCE">
        <w:rPr>
          <w:rFonts w:ascii="Arial" w:hAnsi="Arial" w:cs="Arial"/>
        </w:rPr>
        <w:t xml:space="preserve"> obtuvo un IGOT de </w:t>
      </w:r>
      <w:r w:rsidR="002D2A1D" w:rsidRPr="003B1FCE">
        <w:rPr>
          <w:rFonts w:ascii="Arial" w:hAnsi="Arial" w:cs="Arial"/>
        </w:rPr>
        <w:t>99.49</w:t>
      </w:r>
      <w:r w:rsidRPr="003B1FCE">
        <w:rPr>
          <w:rFonts w:ascii="Arial" w:hAnsi="Arial" w:cs="Arial"/>
        </w:rPr>
        <w:t>%, el cual está compuesto por un índice de 9</w:t>
      </w:r>
      <w:r w:rsidR="002D2A1D" w:rsidRPr="003B1FCE">
        <w:rPr>
          <w:rFonts w:ascii="Arial" w:hAnsi="Arial" w:cs="Arial"/>
        </w:rPr>
        <w:t>9.49</w:t>
      </w:r>
      <w:r w:rsidRPr="003B1FCE">
        <w:rPr>
          <w:rFonts w:ascii="Arial" w:hAnsi="Arial" w:cs="Arial"/>
        </w:rPr>
        <w:t>% en lo que corresponde a la Plataforma Nacional de Transparencia (PNT) y un índice de 9</w:t>
      </w:r>
      <w:r w:rsidR="002D2A1D" w:rsidRPr="003B1FCE">
        <w:rPr>
          <w:rFonts w:ascii="Arial" w:hAnsi="Arial" w:cs="Arial"/>
        </w:rPr>
        <w:t>9.49</w:t>
      </w:r>
      <w:r w:rsidRPr="003B1FCE">
        <w:rPr>
          <w:rFonts w:ascii="Arial" w:hAnsi="Arial" w:cs="Arial"/>
        </w:rPr>
        <w:t>% en lo que se refiere al Portal de Transparencia (PI).</w:t>
      </w:r>
    </w:p>
    <w:p w:rsidR="00632D2C" w:rsidRPr="003B1FCE" w:rsidRDefault="00632D2C" w:rsidP="00632D2C">
      <w:pPr>
        <w:spacing w:before="100" w:beforeAutospacing="1" w:after="100" w:afterAutospacing="1" w:line="360" w:lineRule="auto"/>
        <w:contextualSpacing/>
        <w:jc w:val="both"/>
        <w:rPr>
          <w:rFonts w:ascii="Arial" w:hAnsi="Arial" w:cs="Arial"/>
        </w:rPr>
      </w:pPr>
    </w:p>
    <w:p w:rsidR="00632D2C" w:rsidRPr="003B1FCE" w:rsidRDefault="00632D2C" w:rsidP="00632D2C">
      <w:pPr>
        <w:spacing w:before="100" w:beforeAutospacing="1" w:after="100" w:afterAutospacing="1" w:line="360" w:lineRule="auto"/>
        <w:contextualSpacing/>
        <w:jc w:val="both"/>
        <w:rPr>
          <w:rFonts w:ascii="Arial" w:hAnsi="Arial" w:cs="Arial"/>
        </w:rPr>
      </w:pPr>
      <w:r w:rsidRPr="003B1FCE">
        <w:rPr>
          <w:rFonts w:ascii="Arial" w:hAnsi="Arial" w:cs="Arial"/>
        </w:rPr>
        <w:t xml:space="preserve">Ambos sujetos que integran este ámbito atendieron las recomendaciones y observaciones emitidas en la Primera Evaluación Vinculante 2019; no obstante, únicamente </w:t>
      </w:r>
      <w:r w:rsidR="002D2A1D" w:rsidRPr="003B1FCE">
        <w:rPr>
          <w:rFonts w:ascii="Arial" w:hAnsi="Arial" w:cs="Arial"/>
        </w:rPr>
        <w:t>el Consejo de la Judicatura</w:t>
      </w:r>
      <w:r w:rsidRPr="003B1FCE">
        <w:rPr>
          <w:rFonts w:ascii="Arial" w:hAnsi="Arial" w:cs="Arial"/>
        </w:rPr>
        <w:t xml:space="preserve"> atendió a cabalidad las mismas, por lo que logró cumplir con la totalidad de las obligaciones de transparencia</w:t>
      </w:r>
      <w:r w:rsidR="004903C6" w:rsidRPr="003B1FCE">
        <w:rPr>
          <w:rFonts w:ascii="Arial" w:hAnsi="Arial" w:cs="Arial"/>
        </w:rPr>
        <w:t xml:space="preserve">. Por su parte, el </w:t>
      </w:r>
      <w:r w:rsidR="002D2A1D" w:rsidRPr="003B1FCE">
        <w:rPr>
          <w:rFonts w:ascii="Arial" w:hAnsi="Arial" w:cs="Arial"/>
        </w:rPr>
        <w:t>Tribunal Superior de Justicia</w:t>
      </w:r>
      <w:r w:rsidRPr="003B1FCE">
        <w:rPr>
          <w:rFonts w:ascii="Arial" w:hAnsi="Arial" w:cs="Arial"/>
        </w:rPr>
        <w:t xml:space="preserve"> continúa presentando áreas de oportunidad, por lo que se sitúa en un cumplimiento parcial, con un IGOT superior al 9</w:t>
      </w:r>
      <w:r w:rsidR="002D2A1D" w:rsidRPr="003B1FCE">
        <w:rPr>
          <w:rFonts w:ascii="Arial" w:hAnsi="Arial" w:cs="Arial"/>
        </w:rPr>
        <w:t>5</w:t>
      </w:r>
      <w:r w:rsidRPr="003B1FCE">
        <w:rPr>
          <w:rFonts w:ascii="Arial" w:hAnsi="Arial" w:cs="Arial"/>
        </w:rPr>
        <w:t xml:space="preserve">%. </w:t>
      </w:r>
    </w:p>
    <w:p w:rsidR="00632D2C" w:rsidRPr="003B1FCE" w:rsidRDefault="00632D2C" w:rsidP="00632D2C">
      <w:pPr>
        <w:spacing w:before="100" w:beforeAutospacing="1" w:after="100" w:afterAutospacing="1" w:line="360" w:lineRule="auto"/>
        <w:contextualSpacing/>
        <w:jc w:val="both"/>
        <w:rPr>
          <w:rFonts w:ascii="Arial" w:hAnsi="Arial" w:cs="Arial"/>
        </w:rPr>
      </w:pPr>
    </w:p>
    <w:p w:rsidR="00632D2C" w:rsidRPr="003B1FCE" w:rsidRDefault="00632D2C" w:rsidP="00632D2C">
      <w:pPr>
        <w:spacing w:before="100" w:beforeAutospacing="1" w:after="100" w:afterAutospacing="1" w:line="360" w:lineRule="auto"/>
        <w:contextualSpacing/>
        <w:jc w:val="both"/>
        <w:rPr>
          <w:rFonts w:ascii="Arial" w:hAnsi="Arial" w:cs="Arial"/>
        </w:rPr>
      </w:pPr>
      <w:r w:rsidRPr="003B1FCE">
        <w:rPr>
          <w:rFonts w:ascii="Arial" w:hAnsi="Arial" w:cs="Arial"/>
        </w:rPr>
        <w:t xml:space="preserve">Con relación a la Primera Evaluación Vinculante 2019, este ámbito tuvo un incremento, puesto que pasó de tener un IGOT de </w:t>
      </w:r>
      <w:r w:rsidR="002D2A1D" w:rsidRPr="003B1FCE">
        <w:rPr>
          <w:rFonts w:ascii="Arial" w:hAnsi="Arial" w:cs="Arial"/>
        </w:rPr>
        <w:t>96.4</w:t>
      </w:r>
      <w:r w:rsidRPr="003B1FCE">
        <w:rPr>
          <w:rFonts w:ascii="Arial" w:hAnsi="Arial" w:cs="Arial"/>
        </w:rPr>
        <w:t xml:space="preserve">% a uno de </w:t>
      </w:r>
      <w:r w:rsidR="002D2A1D" w:rsidRPr="003B1FCE">
        <w:rPr>
          <w:rFonts w:ascii="Arial" w:hAnsi="Arial" w:cs="Arial"/>
        </w:rPr>
        <w:t>99.49</w:t>
      </w:r>
      <w:r w:rsidRPr="003B1FCE">
        <w:rPr>
          <w:rFonts w:ascii="Arial" w:hAnsi="Arial" w:cs="Arial"/>
        </w:rPr>
        <w:t xml:space="preserve">%; </w:t>
      </w:r>
      <w:r w:rsidR="002D2A1D" w:rsidRPr="003B1FCE">
        <w:rPr>
          <w:rFonts w:ascii="Arial" w:hAnsi="Arial" w:cs="Arial"/>
        </w:rPr>
        <w:t xml:space="preserve">situándose en un </w:t>
      </w:r>
      <w:r w:rsidRPr="003B1FCE">
        <w:rPr>
          <w:rFonts w:ascii="Arial" w:hAnsi="Arial" w:cs="Arial"/>
        </w:rPr>
        <w:t xml:space="preserve">cumplimiento parcial de las obligaciones de transparencia de la </w:t>
      </w:r>
      <w:r w:rsidRPr="003B1FCE">
        <w:rPr>
          <w:rFonts w:ascii="Arial" w:hAnsi="Arial" w:cs="Arial"/>
        </w:rPr>
        <w:lastRenderedPageBreak/>
        <w:t xml:space="preserve">Ley de Transparencia Local. Este ámbito tuvo un incremento de </w:t>
      </w:r>
      <w:r w:rsidR="002D2A1D" w:rsidRPr="003B1FCE">
        <w:rPr>
          <w:rFonts w:ascii="Arial" w:hAnsi="Arial" w:cs="Arial"/>
        </w:rPr>
        <w:t>3.09</w:t>
      </w:r>
      <w:r w:rsidRPr="003B1FCE">
        <w:rPr>
          <w:rFonts w:ascii="Arial" w:hAnsi="Arial" w:cs="Arial"/>
        </w:rPr>
        <w:t xml:space="preserve">% dentro de su índice. </w:t>
      </w:r>
    </w:p>
    <w:p w:rsidR="00632D2C" w:rsidRPr="003B1FCE" w:rsidRDefault="00632D2C" w:rsidP="00632D2C">
      <w:pPr>
        <w:spacing w:before="100" w:beforeAutospacing="1" w:after="100" w:afterAutospacing="1" w:line="360" w:lineRule="auto"/>
        <w:contextualSpacing/>
        <w:jc w:val="both"/>
        <w:rPr>
          <w:rFonts w:ascii="Arial" w:hAnsi="Arial" w:cs="Arial"/>
        </w:rPr>
      </w:pPr>
    </w:p>
    <w:p w:rsidR="00632D2C" w:rsidRPr="003B1FCE" w:rsidRDefault="00632D2C" w:rsidP="00632D2C">
      <w:pPr>
        <w:spacing w:before="100" w:beforeAutospacing="1" w:after="100" w:afterAutospacing="1" w:line="360" w:lineRule="auto"/>
        <w:contextualSpacing/>
        <w:jc w:val="both"/>
        <w:rPr>
          <w:rFonts w:ascii="Arial" w:hAnsi="Arial" w:cs="Arial"/>
          <w:u w:val="single"/>
        </w:rPr>
      </w:pPr>
      <w:r w:rsidRPr="003B1FCE">
        <w:rPr>
          <w:rFonts w:ascii="Arial" w:hAnsi="Arial" w:cs="Arial"/>
          <w:u w:val="single"/>
        </w:rPr>
        <w:t xml:space="preserve">Cumplimiento diferenciado por artículos </w:t>
      </w:r>
    </w:p>
    <w:p w:rsidR="00632D2C" w:rsidRPr="003B1FCE" w:rsidRDefault="00632D2C" w:rsidP="00632D2C">
      <w:pPr>
        <w:spacing w:before="100" w:beforeAutospacing="1" w:after="100" w:afterAutospacing="1" w:line="360" w:lineRule="auto"/>
        <w:contextualSpacing/>
        <w:jc w:val="both"/>
        <w:rPr>
          <w:rFonts w:ascii="Arial" w:hAnsi="Arial" w:cs="Arial"/>
          <w:u w:val="single"/>
        </w:rPr>
      </w:pPr>
    </w:p>
    <w:p w:rsidR="00632D2C" w:rsidRPr="003B1FCE" w:rsidRDefault="00632D2C" w:rsidP="00632D2C">
      <w:pPr>
        <w:spacing w:before="100" w:beforeAutospacing="1" w:after="100" w:afterAutospacing="1" w:line="360" w:lineRule="auto"/>
        <w:contextualSpacing/>
        <w:jc w:val="both"/>
        <w:rPr>
          <w:rFonts w:ascii="Arial" w:hAnsi="Arial" w:cs="Arial"/>
        </w:rPr>
      </w:pPr>
      <w:r w:rsidRPr="003B1FCE">
        <w:rPr>
          <w:rFonts w:ascii="Arial" w:hAnsi="Arial" w:cs="Arial"/>
        </w:rPr>
        <w:t>Con relación al tipo de obligaciones de transparencia, este ámbito ha cumplido parcialmente con sus obligaciones específicas</w:t>
      </w:r>
      <w:r w:rsidR="002D2A1D" w:rsidRPr="003B1FCE">
        <w:rPr>
          <w:rFonts w:ascii="Arial" w:hAnsi="Arial" w:cs="Arial"/>
        </w:rPr>
        <w:t>, obteniendo un ICP de 97.47% y ha cumplido totalmente con sus obligaciones comunes y disposiciones particulares, obteniendo un índice de 100%</w:t>
      </w:r>
      <w:r w:rsidRPr="003B1FCE">
        <w:rPr>
          <w:rFonts w:ascii="Arial" w:hAnsi="Arial" w:cs="Arial"/>
        </w:rPr>
        <w:t xml:space="preserve">. </w:t>
      </w:r>
    </w:p>
    <w:p w:rsidR="00632D2C" w:rsidRPr="003B1FCE" w:rsidRDefault="00632D2C" w:rsidP="00632D2C">
      <w:pPr>
        <w:spacing w:before="100" w:beforeAutospacing="1" w:after="100" w:afterAutospacing="1" w:line="360" w:lineRule="auto"/>
        <w:contextualSpacing/>
        <w:jc w:val="both"/>
        <w:rPr>
          <w:rFonts w:ascii="Arial" w:hAnsi="Arial" w:cs="Arial"/>
        </w:rPr>
      </w:pPr>
    </w:p>
    <w:p w:rsidR="00632D2C" w:rsidRPr="003B1FCE" w:rsidRDefault="00632D2C" w:rsidP="00632D2C">
      <w:pPr>
        <w:spacing w:before="100" w:beforeAutospacing="1" w:after="100" w:afterAutospacing="1" w:line="360" w:lineRule="auto"/>
        <w:contextualSpacing/>
        <w:jc w:val="both"/>
        <w:rPr>
          <w:rFonts w:ascii="Arial" w:hAnsi="Arial" w:cs="Arial"/>
        </w:rPr>
      </w:pPr>
      <w:r w:rsidRPr="003B1FCE">
        <w:rPr>
          <w:rFonts w:ascii="Arial" w:hAnsi="Arial" w:cs="Arial"/>
        </w:rPr>
        <w:t xml:space="preserve">En esta misma línea, por artículo obtuvieron los siguientes índices con relación a la Primera Evaluación Vinculante: </w:t>
      </w:r>
    </w:p>
    <w:tbl>
      <w:tblPr>
        <w:tblStyle w:val="Tablaconcuadrcula"/>
        <w:tblW w:w="0" w:type="auto"/>
        <w:tblLook w:val="04A0" w:firstRow="1" w:lastRow="0" w:firstColumn="1" w:lastColumn="0" w:noHBand="0" w:noVBand="1"/>
      </w:tblPr>
      <w:tblGrid>
        <w:gridCol w:w="3659"/>
        <w:gridCol w:w="2148"/>
        <w:gridCol w:w="2092"/>
        <w:gridCol w:w="12"/>
        <w:gridCol w:w="908"/>
      </w:tblGrid>
      <w:tr w:rsidR="00632D2C" w:rsidRPr="003B1FCE" w:rsidTr="00B018FB">
        <w:tc>
          <w:tcPr>
            <w:tcW w:w="3659" w:type="dxa"/>
            <w:shd w:val="clear" w:color="auto" w:fill="ED7D31" w:themeFill="accent2"/>
          </w:tcPr>
          <w:p w:rsidR="00632D2C" w:rsidRPr="003B1FCE" w:rsidRDefault="00632D2C" w:rsidP="0007356A">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Artículo</w:t>
            </w:r>
          </w:p>
        </w:tc>
        <w:tc>
          <w:tcPr>
            <w:tcW w:w="2148" w:type="dxa"/>
            <w:shd w:val="clear" w:color="auto" w:fill="ED7D31" w:themeFill="accent2"/>
          </w:tcPr>
          <w:p w:rsidR="00632D2C" w:rsidRPr="003B1FCE" w:rsidRDefault="00632D2C" w:rsidP="0007356A">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ICP – 1ª Evaluación</w:t>
            </w:r>
          </w:p>
        </w:tc>
        <w:tc>
          <w:tcPr>
            <w:tcW w:w="2092" w:type="dxa"/>
            <w:shd w:val="clear" w:color="auto" w:fill="ED7D31" w:themeFill="accent2"/>
          </w:tcPr>
          <w:p w:rsidR="00632D2C" w:rsidRPr="003B1FCE" w:rsidRDefault="00632D2C" w:rsidP="0007356A">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ICP – 3ª Evaluación</w:t>
            </w:r>
          </w:p>
        </w:tc>
        <w:tc>
          <w:tcPr>
            <w:tcW w:w="920" w:type="dxa"/>
            <w:gridSpan w:val="2"/>
            <w:shd w:val="clear" w:color="auto" w:fill="ED7D31" w:themeFill="accent2"/>
          </w:tcPr>
          <w:p w:rsidR="00632D2C" w:rsidRPr="003B1FCE" w:rsidRDefault="00632D2C" w:rsidP="0007356A">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Mejoría</w:t>
            </w:r>
          </w:p>
        </w:tc>
      </w:tr>
      <w:tr w:rsidR="00632D2C" w:rsidRPr="003B1FCE" w:rsidTr="0007356A">
        <w:tc>
          <w:tcPr>
            <w:tcW w:w="3659" w:type="dxa"/>
          </w:tcPr>
          <w:p w:rsidR="00632D2C" w:rsidRPr="003B1FCE" w:rsidRDefault="00632D2C" w:rsidP="0007356A">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121 – Obligaciones Comunes</w:t>
            </w:r>
          </w:p>
        </w:tc>
        <w:tc>
          <w:tcPr>
            <w:tcW w:w="2148" w:type="dxa"/>
            <w:vAlign w:val="center"/>
          </w:tcPr>
          <w:p w:rsidR="00632D2C" w:rsidRPr="003B1FCE" w:rsidRDefault="002D2A1D" w:rsidP="0007356A">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93.58</w:t>
            </w:r>
          </w:p>
        </w:tc>
        <w:tc>
          <w:tcPr>
            <w:tcW w:w="2104" w:type="dxa"/>
            <w:gridSpan w:val="2"/>
            <w:vAlign w:val="center"/>
          </w:tcPr>
          <w:p w:rsidR="00632D2C" w:rsidRPr="003B1FCE" w:rsidRDefault="002D2A1D" w:rsidP="0007356A">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100</w:t>
            </w:r>
          </w:p>
        </w:tc>
        <w:tc>
          <w:tcPr>
            <w:tcW w:w="908" w:type="dxa"/>
            <w:vAlign w:val="center"/>
          </w:tcPr>
          <w:p w:rsidR="00632D2C" w:rsidRPr="003B1FCE" w:rsidRDefault="00474285" w:rsidP="0007356A">
            <w:pPr>
              <w:jc w:val="center"/>
              <w:rPr>
                <w:rFonts w:ascii="Arial" w:hAnsi="Arial" w:cs="Arial"/>
                <w:color w:val="000000"/>
                <w:sz w:val="20"/>
                <w:szCs w:val="20"/>
              </w:rPr>
            </w:pPr>
            <w:r w:rsidRPr="003B1FCE">
              <w:rPr>
                <w:rFonts w:ascii="Arial" w:hAnsi="Arial" w:cs="Arial"/>
                <w:color w:val="000000"/>
                <w:sz w:val="20"/>
                <w:szCs w:val="20"/>
              </w:rPr>
              <w:t>6.42</w:t>
            </w:r>
          </w:p>
        </w:tc>
      </w:tr>
      <w:tr w:rsidR="00632D2C" w:rsidRPr="003B1FCE" w:rsidTr="0007356A">
        <w:tc>
          <w:tcPr>
            <w:tcW w:w="3659" w:type="dxa"/>
          </w:tcPr>
          <w:p w:rsidR="00632D2C" w:rsidRPr="003B1FCE" w:rsidRDefault="00632D2C" w:rsidP="0007356A">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12</w:t>
            </w:r>
            <w:r w:rsidR="002D2A1D" w:rsidRPr="003B1FCE">
              <w:rPr>
                <w:rFonts w:ascii="Arial" w:hAnsi="Arial" w:cs="Arial"/>
                <w:b/>
                <w:bCs/>
                <w:sz w:val="20"/>
                <w:szCs w:val="20"/>
              </w:rPr>
              <w:t>6</w:t>
            </w:r>
            <w:r w:rsidRPr="003B1FCE">
              <w:rPr>
                <w:rFonts w:ascii="Arial" w:hAnsi="Arial" w:cs="Arial"/>
                <w:b/>
                <w:bCs/>
                <w:sz w:val="20"/>
                <w:szCs w:val="20"/>
              </w:rPr>
              <w:t xml:space="preserve"> – Obligaciones Específicas del </w:t>
            </w:r>
            <w:r w:rsidR="002D2A1D" w:rsidRPr="003B1FCE">
              <w:rPr>
                <w:rFonts w:ascii="Arial" w:hAnsi="Arial" w:cs="Arial"/>
                <w:b/>
                <w:bCs/>
                <w:sz w:val="20"/>
                <w:szCs w:val="20"/>
              </w:rPr>
              <w:t>Poder Judicial</w:t>
            </w:r>
          </w:p>
        </w:tc>
        <w:tc>
          <w:tcPr>
            <w:tcW w:w="2148" w:type="dxa"/>
            <w:vAlign w:val="center"/>
          </w:tcPr>
          <w:p w:rsidR="00632D2C" w:rsidRPr="003B1FCE" w:rsidRDefault="002D2A1D" w:rsidP="0007356A">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93.79</w:t>
            </w:r>
          </w:p>
        </w:tc>
        <w:tc>
          <w:tcPr>
            <w:tcW w:w="2104" w:type="dxa"/>
            <w:gridSpan w:val="2"/>
            <w:vAlign w:val="center"/>
          </w:tcPr>
          <w:p w:rsidR="00632D2C" w:rsidRPr="003B1FCE" w:rsidRDefault="00474285" w:rsidP="0007356A">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97.47</w:t>
            </w:r>
          </w:p>
        </w:tc>
        <w:tc>
          <w:tcPr>
            <w:tcW w:w="908" w:type="dxa"/>
            <w:vAlign w:val="center"/>
          </w:tcPr>
          <w:p w:rsidR="00632D2C" w:rsidRPr="003B1FCE" w:rsidRDefault="00474285" w:rsidP="0007356A">
            <w:pPr>
              <w:jc w:val="center"/>
              <w:rPr>
                <w:rFonts w:ascii="Arial" w:hAnsi="Arial" w:cs="Arial"/>
                <w:color w:val="000000"/>
                <w:sz w:val="20"/>
                <w:szCs w:val="20"/>
              </w:rPr>
            </w:pPr>
            <w:r w:rsidRPr="003B1FCE">
              <w:rPr>
                <w:rFonts w:ascii="Arial" w:hAnsi="Arial" w:cs="Arial"/>
                <w:color w:val="000000"/>
                <w:sz w:val="20"/>
                <w:szCs w:val="20"/>
              </w:rPr>
              <w:t>3.68</w:t>
            </w:r>
          </w:p>
        </w:tc>
      </w:tr>
      <w:tr w:rsidR="00632D2C" w:rsidRPr="003B1FCE" w:rsidTr="0007356A">
        <w:tc>
          <w:tcPr>
            <w:tcW w:w="3659" w:type="dxa"/>
          </w:tcPr>
          <w:p w:rsidR="00632D2C" w:rsidRPr="003B1FCE" w:rsidRDefault="00632D2C" w:rsidP="0007356A">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 xml:space="preserve">143 – Obra Pública </w:t>
            </w:r>
          </w:p>
        </w:tc>
        <w:tc>
          <w:tcPr>
            <w:tcW w:w="2148" w:type="dxa"/>
            <w:vAlign w:val="center"/>
          </w:tcPr>
          <w:p w:rsidR="00632D2C" w:rsidRPr="003B1FCE" w:rsidRDefault="002D2A1D" w:rsidP="0007356A">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100</w:t>
            </w:r>
          </w:p>
        </w:tc>
        <w:tc>
          <w:tcPr>
            <w:tcW w:w="2104" w:type="dxa"/>
            <w:gridSpan w:val="2"/>
            <w:vAlign w:val="center"/>
          </w:tcPr>
          <w:p w:rsidR="00632D2C" w:rsidRPr="003B1FCE" w:rsidRDefault="00632D2C" w:rsidP="0007356A">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100</w:t>
            </w:r>
          </w:p>
        </w:tc>
        <w:tc>
          <w:tcPr>
            <w:tcW w:w="908" w:type="dxa"/>
            <w:vAlign w:val="center"/>
          </w:tcPr>
          <w:p w:rsidR="00632D2C" w:rsidRPr="003B1FCE" w:rsidRDefault="00474285" w:rsidP="0007356A">
            <w:pPr>
              <w:jc w:val="center"/>
              <w:rPr>
                <w:rFonts w:ascii="Arial" w:hAnsi="Arial" w:cs="Arial"/>
                <w:color w:val="000000"/>
                <w:sz w:val="20"/>
                <w:szCs w:val="20"/>
              </w:rPr>
            </w:pPr>
            <w:r w:rsidRPr="003B1FCE">
              <w:rPr>
                <w:rFonts w:ascii="Arial" w:hAnsi="Arial" w:cs="Arial"/>
                <w:color w:val="000000"/>
                <w:sz w:val="20"/>
                <w:szCs w:val="20"/>
              </w:rPr>
              <w:t>0</w:t>
            </w:r>
          </w:p>
        </w:tc>
      </w:tr>
      <w:tr w:rsidR="00632D2C" w:rsidRPr="003B1FCE" w:rsidTr="0007356A">
        <w:tc>
          <w:tcPr>
            <w:tcW w:w="3659" w:type="dxa"/>
          </w:tcPr>
          <w:p w:rsidR="00632D2C" w:rsidRPr="003B1FCE" w:rsidRDefault="00632D2C" w:rsidP="0007356A">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145 – Portal de Transparencia</w:t>
            </w:r>
          </w:p>
        </w:tc>
        <w:tc>
          <w:tcPr>
            <w:tcW w:w="2148" w:type="dxa"/>
            <w:vAlign w:val="center"/>
          </w:tcPr>
          <w:p w:rsidR="00632D2C" w:rsidRPr="003B1FCE" w:rsidRDefault="00632D2C" w:rsidP="0007356A">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100</w:t>
            </w:r>
          </w:p>
        </w:tc>
        <w:tc>
          <w:tcPr>
            <w:tcW w:w="2104" w:type="dxa"/>
            <w:gridSpan w:val="2"/>
            <w:vAlign w:val="center"/>
          </w:tcPr>
          <w:p w:rsidR="00632D2C" w:rsidRPr="003B1FCE" w:rsidRDefault="00632D2C" w:rsidP="0007356A">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100</w:t>
            </w:r>
          </w:p>
        </w:tc>
        <w:tc>
          <w:tcPr>
            <w:tcW w:w="908" w:type="dxa"/>
            <w:vAlign w:val="center"/>
          </w:tcPr>
          <w:p w:rsidR="00632D2C" w:rsidRPr="003B1FCE" w:rsidRDefault="00632D2C" w:rsidP="0007356A">
            <w:pPr>
              <w:jc w:val="center"/>
              <w:rPr>
                <w:rFonts w:ascii="Arial" w:hAnsi="Arial" w:cs="Arial"/>
                <w:color w:val="000000"/>
                <w:sz w:val="20"/>
                <w:szCs w:val="20"/>
              </w:rPr>
            </w:pPr>
            <w:r w:rsidRPr="003B1FCE">
              <w:rPr>
                <w:rFonts w:ascii="Arial" w:hAnsi="Arial" w:cs="Arial"/>
                <w:color w:val="000000"/>
                <w:sz w:val="20"/>
                <w:szCs w:val="20"/>
              </w:rPr>
              <w:t>0</w:t>
            </w:r>
          </w:p>
        </w:tc>
      </w:tr>
      <w:tr w:rsidR="00632D2C" w:rsidRPr="003B1FCE" w:rsidTr="0007356A">
        <w:tc>
          <w:tcPr>
            <w:tcW w:w="3659" w:type="dxa"/>
          </w:tcPr>
          <w:p w:rsidR="00632D2C" w:rsidRPr="003B1FCE" w:rsidRDefault="00632D2C" w:rsidP="0007356A">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146 – Calendario de actualización</w:t>
            </w:r>
          </w:p>
        </w:tc>
        <w:tc>
          <w:tcPr>
            <w:tcW w:w="2148" w:type="dxa"/>
            <w:vAlign w:val="center"/>
          </w:tcPr>
          <w:p w:rsidR="00632D2C" w:rsidRPr="003B1FCE" w:rsidRDefault="002D2A1D" w:rsidP="0007356A">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100</w:t>
            </w:r>
          </w:p>
        </w:tc>
        <w:tc>
          <w:tcPr>
            <w:tcW w:w="2104" w:type="dxa"/>
            <w:gridSpan w:val="2"/>
            <w:vAlign w:val="center"/>
          </w:tcPr>
          <w:p w:rsidR="00632D2C" w:rsidRPr="003B1FCE" w:rsidRDefault="00632D2C" w:rsidP="0007356A">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100</w:t>
            </w:r>
          </w:p>
        </w:tc>
        <w:tc>
          <w:tcPr>
            <w:tcW w:w="908" w:type="dxa"/>
            <w:vAlign w:val="center"/>
          </w:tcPr>
          <w:p w:rsidR="00632D2C" w:rsidRPr="003B1FCE" w:rsidRDefault="00474285" w:rsidP="0007356A">
            <w:pPr>
              <w:jc w:val="center"/>
              <w:rPr>
                <w:rFonts w:ascii="Arial" w:hAnsi="Arial" w:cs="Arial"/>
                <w:color w:val="000000"/>
                <w:sz w:val="20"/>
                <w:szCs w:val="20"/>
              </w:rPr>
            </w:pPr>
            <w:r w:rsidRPr="003B1FCE">
              <w:rPr>
                <w:rFonts w:ascii="Arial" w:hAnsi="Arial" w:cs="Arial"/>
                <w:color w:val="000000"/>
                <w:sz w:val="20"/>
                <w:szCs w:val="20"/>
              </w:rPr>
              <w:t>0</w:t>
            </w:r>
          </w:p>
        </w:tc>
      </w:tr>
      <w:tr w:rsidR="00632D2C" w:rsidRPr="003B1FCE" w:rsidTr="0007356A">
        <w:tc>
          <w:tcPr>
            <w:tcW w:w="3659" w:type="dxa"/>
          </w:tcPr>
          <w:p w:rsidR="00632D2C" w:rsidRPr="003B1FCE" w:rsidRDefault="00632D2C" w:rsidP="0007356A">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 xml:space="preserve">147 – Informes respecto de recursos otorgados por el sujeto obligado a terceros </w:t>
            </w:r>
          </w:p>
        </w:tc>
        <w:tc>
          <w:tcPr>
            <w:tcW w:w="2148" w:type="dxa"/>
            <w:vAlign w:val="center"/>
          </w:tcPr>
          <w:p w:rsidR="00632D2C" w:rsidRPr="003B1FCE" w:rsidRDefault="002D2A1D" w:rsidP="0007356A">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100</w:t>
            </w:r>
          </w:p>
        </w:tc>
        <w:tc>
          <w:tcPr>
            <w:tcW w:w="2104" w:type="dxa"/>
            <w:gridSpan w:val="2"/>
            <w:vAlign w:val="center"/>
          </w:tcPr>
          <w:p w:rsidR="00632D2C" w:rsidRPr="003B1FCE" w:rsidRDefault="00474285" w:rsidP="0007356A">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100</w:t>
            </w:r>
          </w:p>
        </w:tc>
        <w:tc>
          <w:tcPr>
            <w:tcW w:w="908" w:type="dxa"/>
            <w:vAlign w:val="center"/>
          </w:tcPr>
          <w:p w:rsidR="00632D2C" w:rsidRPr="003B1FCE" w:rsidRDefault="00474285" w:rsidP="0007356A">
            <w:pPr>
              <w:jc w:val="center"/>
              <w:rPr>
                <w:rFonts w:ascii="Arial" w:hAnsi="Arial" w:cs="Arial"/>
                <w:color w:val="000000"/>
                <w:sz w:val="20"/>
                <w:szCs w:val="20"/>
              </w:rPr>
            </w:pPr>
            <w:r w:rsidRPr="003B1FCE">
              <w:rPr>
                <w:rFonts w:ascii="Arial" w:hAnsi="Arial" w:cs="Arial"/>
                <w:color w:val="000000"/>
                <w:sz w:val="20"/>
                <w:szCs w:val="20"/>
              </w:rPr>
              <w:t>0</w:t>
            </w:r>
          </w:p>
        </w:tc>
      </w:tr>
    </w:tbl>
    <w:p w:rsidR="00632D2C" w:rsidRPr="003B1FCE" w:rsidRDefault="00632D2C" w:rsidP="00632D2C">
      <w:pPr>
        <w:spacing w:before="100" w:beforeAutospacing="1" w:after="100" w:afterAutospacing="1" w:line="360" w:lineRule="auto"/>
        <w:contextualSpacing/>
        <w:jc w:val="both"/>
        <w:rPr>
          <w:rFonts w:ascii="Arial" w:hAnsi="Arial" w:cs="Arial"/>
        </w:rPr>
      </w:pPr>
    </w:p>
    <w:p w:rsidR="004903C6" w:rsidRPr="003B1FCE" w:rsidRDefault="00474285" w:rsidP="00474285">
      <w:pPr>
        <w:spacing w:before="100" w:beforeAutospacing="1" w:after="100" w:afterAutospacing="1" w:line="360" w:lineRule="auto"/>
        <w:contextualSpacing/>
        <w:jc w:val="both"/>
        <w:rPr>
          <w:rFonts w:ascii="Arial" w:hAnsi="Arial" w:cs="Arial"/>
        </w:rPr>
      </w:pPr>
      <w:r w:rsidRPr="003B1FCE">
        <w:rPr>
          <w:rFonts w:ascii="Arial" w:hAnsi="Arial" w:cs="Arial"/>
        </w:rPr>
        <w:t>Del comparativo anteriormente plasmado, se puede apreciar que este ámbito tuvo un incremento en los índices que tenían observaciones. En lo que respecta a las obligaciones comunes, pasó de estar situado en un cumplimiento parcial a un cumplimiento total. Sobre las obligaciones específicas, el Poder Judicial continúa situado en un cumplimiento parcial, pero increment</w:t>
      </w:r>
      <w:r w:rsidR="004903C6" w:rsidRPr="003B1FCE">
        <w:rPr>
          <w:rFonts w:ascii="Arial" w:hAnsi="Arial" w:cs="Arial"/>
        </w:rPr>
        <w:t>ó</w:t>
      </w:r>
      <w:r w:rsidRPr="003B1FCE">
        <w:rPr>
          <w:rFonts w:ascii="Arial" w:hAnsi="Arial" w:cs="Arial"/>
        </w:rPr>
        <w:t xml:space="preserve"> su índice en 3.68 puntos, obteniendo un ICP de 97.47%. Por último, en lo que se refiere a las disposiciones particulares, el ámbito del Poder Judicial conservó el cumplimiento total obtenido en la Primera Evaluación Vinculante 2019. </w:t>
      </w:r>
    </w:p>
    <w:p w:rsidR="004903C6" w:rsidRPr="003B1FCE" w:rsidRDefault="004903C6" w:rsidP="00474285">
      <w:pPr>
        <w:spacing w:before="100" w:beforeAutospacing="1" w:after="100" w:afterAutospacing="1" w:line="360" w:lineRule="auto"/>
        <w:contextualSpacing/>
        <w:jc w:val="both"/>
        <w:rPr>
          <w:rFonts w:ascii="Arial" w:hAnsi="Arial" w:cs="Arial"/>
        </w:rPr>
      </w:pPr>
    </w:p>
    <w:p w:rsidR="00474285" w:rsidRPr="003B1FCE" w:rsidRDefault="00474285" w:rsidP="00474285">
      <w:pPr>
        <w:spacing w:before="100" w:beforeAutospacing="1" w:after="100" w:afterAutospacing="1" w:line="360" w:lineRule="auto"/>
        <w:contextualSpacing/>
        <w:jc w:val="both"/>
        <w:rPr>
          <w:rFonts w:ascii="Arial" w:hAnsi="Arial" w:cs="Arial"/>
        </w:rPr>
      </w:pPr>
      <w:r w:rsidRPr="003B1FCE">
        <w:rPr>
          <w:rFonts w:ascii="Arial" w:hAnsi="Arial" w:cs="Arial"/>
        </w:rPr>
        <w:t xml:space="preserve">El Poder </w:t>
      </w:r>
      <w:r w:rsidR="004903C6" w:rsidRPr="003B1FCE">
        <w:rPr>
          <w:rFonts w:ascii="Arial" w:hAnsi="Arial" w:cs="Arial"/>
        </w:rPr>
        <w:t>Judicial</w:t>
      </w:r>
      <w:r w:rsidRPr="003B1FCE">
        <w:rPr>
          <w:rFonts w:ascii="Arial" w:hAnsi="Arial" w:cs="Arial"/>
        </w:rPr>
        <w:t xml:space="preserve"> obtuvo un incremento promedio en su índice por artículo de 5.05%.</w:t>
      </w:r>
    </w:p>
    <w:p w:rsidR="00474285" w:rsidRPr="003B1FCE" w:rsidRDefault="00474285" w:rsidP="00474285">
      <w:pPr>
        <w:spacing w:before="100" w:beforeAutospacing="1" w:after="100" w:afterAutospacing="1" w:line="360" w:lineRule="auto"/>
        <w:contextualSpacing/>
        <w:jc w:val="both"/>
        <w:rPr>
          <w:rFonts w:ascii="Arial" w:hAnsi="Arial" w:cs="Arial"/>
        </w:rPr>
      </w:pPr>
    </w:p>
    <w:p w:rsidR="00474285" w:rsidRPr="003B1FCE" w:rsidRDefault="00474285" w:rsidP="00474285">
      <w:pPr>
        <w:spacing w:before="100" w:beforeAutospacing="1" w:after="100" w:afterAutospacing="1" w:line="360" w:lineRule="auto"/>
        <w:contextualSpacing/>
        <w:jc w:val="both"/>
        <w:rPr>
          <w:rFonts w:ascii="Arial" w:hAnsi="Arial" w:cs="Arial"/>
          <w:b/>
          <w:bCs/>
        </w:rPr>
      </w:pPr>
      <w:r w:rsidRPr="003B1FCE">
        <w:rPr>
          <w:rFonts w:ascii="Arial" w:hAnsi="Arial" w:cs="Arial"/>
          <w:b/>
          <w:bCs/>
        </w:rPr>
        <w:t>Comparativo de índices entre la Primera Evaluación Vinculante 2019 y la Tercera Evaluación Vinculante 2019</w:t>
      </w:r>
    </w:p>
    <w:tbl>
      <w:tblPr>
        <w:tblW w:w="9067" w:type="dxa"/>
        <w:tblLayout w:type="fixed"/>
        <w:tblCellMar>
          <w:left w:w="70" w:type="dxa"/>
          <w:right w:w="70" w:type="dxa"/>
        </w:tblCellMar>
        <w:tblLook w:val="04A0" w:firstRow="1" w:lastRow="0" w:firstColumn="1" w:lastColumn="0" w:noHBand="0" w:noVBand="1"/>
      </w:tblPr>
      <w:tblGrid>
        <w:gridCol w:w="463"/>
        <w:gridCol w:w="4352"/>
        <w:gridCol w:w="1559"/>
        <w:gridCol w:w="1703"/>
        <w:gridCol w:w="990"/>
      </w:tblGrid>
      <w:tr w:rsidR="00474285" w:rsidRPr="003B1FCE" w:rsidTr="00B018FB">
        <w:trPr>
          <w:trHeight w:val="860"/>
          <w:tblHeader/>
        </w:trPr>
        <w:tc>
          <w:tcPr>
            <w:tcW w:w="9067" w:type="dxa"/>
            <w:gridSpan w:val="5"/>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474285" w:rsidRPr="003B1FCE" w:rsidRDefault="00474285" w:rsidP="0007356A">
            <w:pPr>
              <w:jc w:val="center"/>
              <w:rPr>
                <w:rFonts w:ascii="Arial" w:hAnsi="Arial" w:cs="Arial"/>
                <w:b/>
                <w:bCs/>
                <w:color w:val="000000"/>
                <w:sz w:val="20"/>
                <w:szCs w:val="20"/>
              </w:rPr>
            </w:pPr>
            <w:r w:rsidRPr="003B1FCE">
              <w:rPr>
                <w:rFonts w:ascii="Arial" w:hAnsi="Arial" w:cs="Arial"/>
                <w:b/>
                <w:bCs/>
                <w:color w:val="000000"/>
                <w:sz w:val="20"/>
                <w:szCs w:val="20"/>
              </w:rPr>
              <w:t>Resultados de la Tercera Evaluación Vinculante 2019, respecto de las recomendaciones y observaciones de la Primera Evaluación Vinculante 2019</w:t>
            </w:r>
          </w:p>
        </w:tc>
      </w:tr>
      <w:tr w:rsidR="00474285" w:rsidRPr="003B1FCE" w:rsidTr="00B018FB">
        <w:trPr>
          <w:trHeight w:val="340"/>
          <w:tblHeader/>
        </w:trPr>
        <w:tc>
          <w:tcPr>
            <w:tcW w:w="463" w:type="dxa"/>
            <w:tcBorders>
              <w:top w:val="nil"/>
              <w:left w:val="single" w:sz="4" w:space="0" w:color="auto"/>
              <w:bottom w:val="single" w:sz="4" w:space="0" w:color="auto"/>
              <w:right w:val="single" w:sz="4" w:space="0" w:color="auto"/>
            </w:tcBorders>
            <w:shd w:val="clear" w:color="auto" w:fill="ED7D31" w:themeFill="accent2"/>
            <w:vAlign w:val="center"/>
            <w:hideMark/>
          </w:tcPr>
          <w:p w:rsidR="00474285" w:rsidRPr="003B1FCE" w:rsidRDefault="00474285" w:rsidP="0007356A">
            <w:pPr>
              <w:jc w:val="center"/>
              <w:rPr>
                <w:rFonts w:ascii="Arial" w:hAnsi="Arial" w:cs="Arial"/>
                <w:b/>
                <w:bCs/>
                <w:color w:val="000000"/>
                <w:sz w:val="20"/>
                <w:szCs w:val="20"/>
              </w:rPr>
            </w:pPr>
            <w:r w:rsidRPr="003B1FCE">
              <w:rPr>
                <w:rFonts w:ascii="Arial" w:hAnsi="Arial" w:cs="Arial"/>
                <w:b/>
                <w:bCs/>
                <w:color w:val="000000"/>
                <w:sz w:val="20"/>
                <w:szCs w:val="20"/>
              </w:rPr>
              <w:t>No.</w:t>
            </w:r>
          </w:p>
        </w:tc>
        <w:tc>
          <w:tcPr>
            <w:tcW w:w="4352" w:type="dxa"/>
            <w:tcBorders>
              <w:top w:val="nil"/>
              <w:left w:val="nil"/>
              <w:bottom w:val="single" w:sz="4" w:space="0" w:color="auto"/>
              <w:right w:val="single" w:sz="4" w:space="0" w:color="auto"/>
            </w:tcBorders>
            <w:shd w:val="clear" w:color="auto" w:fill="ED7D31" w:themeFill="accent2"/>
            <w:vAlign w:val="center"/>
            <w:hideMark/>
          </w:tcPr>
          <w:p w:rsidR="00474285" w:rsidRPr="003B1FCE" w:rsidRDefault="00474285" w:rsidP="0007356A">
            <w:pPr>
              <w:jc w:val="center"/>
              <w:rPr>
                <w:rFonts w:ascii="Arial" w:hAnsi="Arial" w:cs="Arial"/>
                <w:b/>
                <w:bCs/>
                <w:color w:val="000000"/>
                <w:sz w:val="20"/>
                <w:szCs w:val="20"/>
              </w:rPr>
            </w:pPr>
            <w:r w:rsidRPr="003B1FCE">
              <w:rPr>
                <w:rFonts w:ascii="Arial" w:hAnsi="Arial" w:cs="Arial"/>
                <w:b/>
                <w:bCs/>
                <w:color w:val="000000"/>
                <w:sz w:val="20"/>
                <w:szCs w:val="20"/>
              </w:rPr>
              <w:t>Sujeto obligado</w:t>
            </w:r>
          </w:p>
        </w:tc>
        <w:tc>
          <w:tcPr>
            <w:tcW w:w="1559" w:type="dxa"/>
            <w:tcBorders>
              <w:top w:val="nil"/>
              <w:left w:val="nil"/>
              <w:bottom w:val="single" w:sz="4" w:space="0" w:color="auto"/>
              <w:right w:val="single" w:sz="4" w:space="0" w:color="auto"/>
            </w:tcBorders>
            <w:shd w:val="clear" w:color="auto" w:fill="ED7D31" w:themeFill="accent2"/>
            <w:vAlign w:val="center"/>
            <w:hideMark/>
          </w:tcPr>
          <w:p w:rsidR="00474285" w:rsidRPr="003B1FCE" w:rsidRDefault="00474285" w:rsidP="0007356A">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1a Evaluación Vinculante 2019, respecto del ejercicio 2018</w:t>
            </w:r>
          </w:p>
        </w:tc>
        <w:tc>
          <w:tcPr>
            <w:tcW w:w="1703" w:type="dxa"/>
            <w:tcBorders>
              <w:top w:val="nil"/>
              <w:left w:val="nil"/>
              <w:bottom w:val="single" w:sz="4" w:space="0" w:color="auto"/>
              <w:right w:val="single" w:sz="4" w:space="0" w:color="auto"/>
            </w:tcBorders>
            <w:shd w:val="clear" w:color="auto" w:fill="ED7D31" w:themeFill="accent2"/>
            <w:vAlign w:val="center"/>
            <w:hideMark/>
          </w:tcPr>
          <w:p w:rsidR="00474285" w:rsidRPr="003B1FCE" w:rsidRDefault="00474285" w:rsidP="0007356A">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3a Evaluación Vinculante, respecto de la 1a Evaluación Vinculante</w:t>
            </w:r>
          </w:p>
        </w:tc>
        <w:tc>
          <w:tcPr>
            <w:tcW w:w="990" w:type="dxa"/>
            <w:tcBorders>
              <w:top w:val="nil"/>
              <w:left w:val="nil"/>
              <w:bottom w:val="single" w:sz="4" w:space="0" w:color="auto"/>
              <w:right w:val="single" w:sz="4" w:space="0" w:color="auto"/>
            </w:tcBorders>
            <w:shd w:val="clear" w:color="auto" w:fill="ED7D31" w:themeFill="accent2"/>
            <w:vAlign w:val="center"/>
            <w:hideMark/>
          </w:tcPr>
          <w:p w:rsidR="00474285" w:rsidRPr="003B1FCE" w:rsidRDefault="00474285" w:rsidP="0007356A">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Mejoría</w:t>
            </w:r>
          </w:p>
        </w:tc>
      </w:tr>
      <w:tr w:rsidR="00474285" w:rsidRPr="003B1FCE" w:rsidTr="0007356A">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74285" w:rsidRPr="003B1FCE" w:rsidRDefault="00474285" w:rsidP="0007356A">
            <w:pPr>
              <w:jc w:val="center"/>
              <w:rPr>
                <w:rFonts w:ascii="Calibri" w:hAnsi="Calibri"/>
                <w:color w:val="000000"/>
                <w:sz w:val="20"/>
                <w:szCs w:val="20"/>
              </w:rPr>
            </w:pPr>
            <w:r w:rsidRPr="003B1FCE">
              <w:rPr>
                <w:rFonts w:ascii="Calibri" w:hAnsi="Calibri"/>
                <w:color w:val="000000"/>
                <w:sz w:val="20"/>
                <w:szCs w:val="20"/>
              </w:rPr>
              <w:t>1</w:t>
            </w:r>
          </w:p>
        </w:tc>
        <w:tc>
          <w:tcPr>
            <w:tcW w:w="4352" w:type="dxa"/>
            <w:tcBorders>
              <w:top w:val="nil"/>
              <w:left w:val="nil"/>
              <w:bottom w:val="single" w:sz="4" w:space="0" w:color="auto"/>
              <w:right w:val="single" w:sz="4" w:space="0" w:color="auto"/>
            </w:tcBorders>
            <w:shd w:val="clear" w:color="auto" w:fill="auto"/>
            <w:vAlign w:val="center"/>
            <w:hideMark/>
          </w:tcPr>
          <w:p w:rsidR="00474285" w:rsidRPr="003B1FCE" w:rsidRDefault="00474285" w:rsidP="0007356A">
            <w:pPr>
              <w:rPr>
                <w:rFonts w:ascii="Calibri" w:hAnsi="Calibri"/>
                <w:color w:val="000000"/>
                <w:sz w:val="20"/>
                <w:szCs w:val="20"/>
              </w:rPr>
            </w:pPr>
            <w:r w:rsidRPr="003B1FCE">
              <w:rPr>
                <w:rFonts w:ascii="Calibri" w:hAnsi="Calibri"/>
                <w:color w:val="000000"/>
                <w:sz w:val="20"/>
                <w:szCs w:val="20"/>
              </w:rPr>
              <w:t>Consejo de la Judicatura de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474285" w:rsidRPr="003B1FCE" w:rsidRDefault="00474285" w:rsidP="0007356A">
            <w:pPr>
              <w:jc w:val="center"/>
              <w:rPr>
                <w:rFonts w:ascii="Calibri" w:hAnsi="Calibri"/>
                <w:color w:val="000000"/>
                <w:sz w:val="20"/>
                <w:szCs w:val="20"/>
              </w:rPr>
            </w:pPr>
            <w:r w:rsidRPr="003B1FCE">
              <w:rPr>
                <w:rFonts w:ascii="Calibri" w:hAnsi="Calibri"/>
                <w:color w:val="000000"/>
                <w:sz w:val="20"/>
                <w:szCs w:val="20"/>
              </w:rPr>
              <w:t>99.49</w:t>
            </w:r>
          </w:p>
        </w:tc>
        <w:tc>
          <w:tcPr>
            <w:tcW w:w="1703" w:type="dxa"/>
            <w:tcBorders>
              <w:top w:val="nil"/>
              <w:left w:val="nil"/>
              <w:bottom w:val="single" w:sz="4" w:space="0" w:color="auto"/>
              <w:right w:val="single" w:sz="4" w:space="0" w:color="auto"/>
            </w:tcBorders>
            <w:shd w:val="clear" w:color="auto" w:fill="auto"/>
            <w:vAlign w:val="center"/>
            <w:hideMark/>
          </w:tcPr>
          <w:p w:rsidR="00474285" w:rsidRPr="003B1FCE" w:rsidRDefault="00474285" w:rsidP="0007356A">
            <w:pPr>
              <w:jc w:val="center"/>
              <w:rPr>
                <w:rFonts w:ascii="Calibri" w:hAnsi="Calibri"/>
                <w:color w:val="000000"/>
                <w:sz w:val="20"/>
                <w:szCs w:val="20"/>
              </w:rPr>
            </w:pPr>
            <w:r w:rsidRPr="003B1FCE">
              <w:rPr>
                <w:rFonts w:ascii="Calibri" w:hAnsi="Calibri"/>
                <w:color w:val="000000"/>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474285" w:rsidRPr="003B1FCE" w:rsidRDefault="00474285" w:rsidP="0007356A">
            <w:pPr>
              <w:jc w:val="center"/>
              <w:rPr>
                <w:rFonts w:ascii="Calibri" w:hAnsi="Calibri"/>
                <w:color w:val="000000"/>
                <w:sz w:val="20"/>
                <w:szCs w:val="20"/>
              </w:rPr>
            </w:pPr>
            <w:r w:rsidRPr="003B1FCE">
              <w:rPr>
                <w:rFonts w:ascii="Calibri" w:hAnsi="Calibri"/>
                <w:color w:val="000000"/>
                <w:sz w:val="20"/>
                <w:szCs w:val="20"/>
              </w:rPr>
              <w:t>0.51</w:t>
            </w:r>
          </w:p>
        </w:tc>
      </w:tr>
      <w:tr w:rsidR="00474285" w:rsidRPr="003B1FCE" w:rsidTr="0007356A">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74285" w:rsidRPr="003B1FCE" w:rsidRDefault="00474285" w:rsidP="0007356A">
            <w:pPr>
              <w:jc w:val="center"/>
              <w:rPr>
                <w:rFonts w:ascii="Calibri" w:hAnsi="Calibri"/>
                <w:color w:val="000000"/>
                <w:sz w:val="20"/>
                <w:szCs w:val="20"/>
              </w:rPr>
            </w:pPr>
            <w:r w:rsidRPr="003B1FCE">
              <w:rPr>
                <w:rFonts w:ascii="Calibri" w:hAnsi="Calibri"/>
                <w:color w:val="000000"/>
                <w:sz w:val="20"/>
                <w:szCs w:val="20"/>
              </w:rPr>
              <w:t>2</w:t>
            </w:r>
          </w:p>
        </w:tc>
        <w:tc>
          <w:tcPr>
            <w:tcW w:w="4352" w:type="dxa"/>
            <w:tcBorders>
              <w:top w:val="nil"/>
              <w:left w:val="nil"/>
              <w:bottom w:val="single" w:sz="4" w:space="0" w:color="auto"/>
              <w:right w:val="single" w:sz="4" w:space="0" w:color="auto"/>
            </w:tcBorders>
            <w:shd w:val="clear" w:color="auto" w:fill="auto"/>
            <w:vAlign w:val="center"/>
            <w:hideMark/>
          </w:tcPr>
          <w:p w:rsidR="00474285" w:rsidRPr="003B1FCE" w:rsidRDefault="00474285" w:rsidP="0007356A">
            <w:pPr>
              <w:rPr>
                <w:rFonts w:ascii="Calibri" w:hAnsi="Calibri"/>
                <w:color w:val="000000"/>
                <w:sz w:val="20"/>
                <w:szCs w:val="20"/>
              </w:rPr>
            </w:pPr>
            <w:r w:rsidRPr="003B1FCE">
              <w:rPr>
                <w:rFonts w:ascii="Calibri" w:hAnsi="Calibri"/>
                <w:color w:val="000000"/>
                <w:sz w:val="20"/>
                <w:szCs w:val="20"/>
              </w:rPr>
              <w:t>Tribunal Superior de Justicia de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474285" w:rsidRPr="003B1FCE" w:rsidRDefault="00474285" w:rsidP="0007356A">
            <w:pPr>
              <w:jc w:val="center"/>
              <w:rPr>
                <w:rFonts w:ascii="Calibri" w:hAnsi="Calibri"/>
                <w:color w:val="000000"/>
                <w:sz w:val="20"/>
                <w:szCs w:val="20"/>
              </w:rPr>
            </w:pPr>
            <w:r w:rsidRPr="003B1FCE">
              <w:rPr>
                <w:rFonts w:ascii="Calibri" w:hAnsi="Calibri"/>
                <w:color w:val="000000"/>
                <w:sz w:val="20"/>
                <w:szCs w:val="20"/>
              </w:rPr>
              <w:t>90.32</w:t>
            </w:r>
          </w:p>
        </w:tc>
        <w:tc>
          <w:tcPr>
            <w:tcW w:w="1703" w:type="dxa"/>
            <w:tcBorders>
              <w:top w:val="nil"/>
              <w:left w:val="nil"/>
              <w:bottom w:val="single" w:sz="4" w:space="0" w:color="auto"/>
              <w:right w:val="single" w:sz="4" w:space="0" w:color="auto"/>
            </w:tcBorders>
            <w:shd w:val="clear" w:color="auto" w:fill="auto"/>
            <w:vAlign w:val="center"/>
            <w:hideMark/>
          </w:tcPr>
          <w:p w:rsidR="00474285" w:rsidRPr="003B1FCE" w:rsidRDefault="00474285" w:rsidP="0007356A">
            <w:pPr>
              <w:jc w:val="center"/>
              <w:rPr>
                <w:rFonts w:ascii="Calibri" w:hAnsi="Calibri"/>
                <w:color w:val="000000"/>
                <w:sz w:val="20"/>
                <w:szCs w:val="20"/>
              </w:rPr>
            </w:pPr>
            <w:r w:rsidRPr="003B1FCE">
              <w:rPr>
                <w:rFonts w:ascii="Calibri" w:hAnsi="Calibri"/>
                <w:color w:val="000000"/>
                <w:sz w:val="20"/>
                <w:szCs w:val="20"/>
              </w:rPr>
              <w:t>98.99</w:t>
            </w:r>
          </w:p>
        </w:tc>
        <w:tc>
          <w:tcPr>
            <w:tcW w:w="990" w:type="dxa"/>
            <w:tcBorders>
              <w:top w:val="nil"/>
              <w:left w:val="nil"/>
              <w:bottom w:val="single" w:sz="4" w:space="0" w:color="auto"/>
              <w:right w:val="single" w:sz="4" w:space="0" w:color="auto"/>
            </w:tcBorders>
            <w:shd w:val="clear" w:color="auto" w:fill="auto"/>
            <w:vAlign w:val="center"/>
            <w:hideMark/>
          </w:tcPr>
          <w:p w:rsidR="00474285" w:rsidRPr="003B1FCE" w:rsidRDefault="00474285" w:rsidP="0007356A">
            <w:pPr>
              <w:jc w:val="center"/>
              <w:rPr>
                <w:rFonts w:ascii="Calibri" w:hAnsi="Calibri"/>
                <w:color w:val="000000"/>
                <w:sz w:val="20"/>
                <w:szCs w:val="20"/>
              </w:rPr>
            </w:pPr>
            <w:r w:rsidRPr="003B1FCE">
              <w:rPr>
                <w:rFonts w:ascii="Calibri" w:hAnsi="Calibri"/>
                <w:color w:val="000000"/>
                <w:sz w:val="20"/>
                <w:szCs w:val="20"/>
              </w:rPr>
              <w:t>8.67</w:t>
            </w:r>
          </w:p>
        </w:tc>
      </w:tr>
    </w:tbl>
    <w:p w:rsidR="00474285" w:rsidRPr="003B1FCE" w:rsidRDefault="00474285" w:rsidP="00632D2C">
      <w:pPr>
        <w:spacing w:before="100" w:beforeAutospacing="1" w:after="100" w:afterAutospacing="1" w:line="360" w:lineRule="auto"/>
        <w:contextualSpacing/>
        <w:jc w:val="both"/>
        <w:rPr>
          <w:rFonts w:ascii="Arial" w:hAnsi="Arial" w:cs="Arial"/>
        </w:rPr>
      </w:pPr>
    </w:p>
    <w:p w:rsidR="00474285" w:rsidRPr="003B1FCE" w:rsidRDefault="00474285" w:rsidP="00632D2C">
      <w:pPr>
        <w:spacing w:before="100" w:beforeAutospacing="1" w:after="100" w:afterAutospacing="1" w:line="360" w:lineRule="auto"/>
        <w:jc w:val="both"/>
        <w:rPr>
          <w:rFonts w:ascii="Arial" w:hAnsi="Arial" w:cs="Arial"/>
        </w:rPr>
      </w:pPr>
      <w:r w:rsidRPr="003B1FCE">
        <w:rPr>
          <w:rFonts w:ascii="Arial" w:hAnsi="Arial" w:cs="Arial"/>
        </w:rPr>
        <w:t>Sobre las obligaciones específicas, el Consejo de la Judicatura cumplió con la totalidad de las recomendaciones y observaciones; mientras que el Tribunal Superior de Justicia continúa presentando áreas de oportunidad en la publicación de las versiones públicas de sus sentencias; sin embargo, este último se encuentra en un cumplimiento parcial.</w:t>
      </w:r>
    </w:p>
    <w:p w:rsidR="00632D2C" w:rsidRPr="003B1FCE" w:rsidRDefault="00632D2C" w:rsidP="00632D2C">
      <w:pPr>
        <w:spacing w:before="100" w:beforeAutospacing="1" w:after="100" w:afterAutospacing="1" w:line="360" w:lineRule="auto"/>
        <w:jc w:val="both"/>
        <w:rPr>
          <w:rFonts w:ascii="Arial" w:hAnsi="Arial" w:cs="Arial"/>
        </w:rPr>
      </w:pPr>
      <w:r w:rsidRPr="003B1FCE">
        <w:rPr>
          <w:rFonts w:ascii="Arial" w:hAnsi="Arial" w:cs="Arial"/>
        </w:rPr>
        <w:t>Con relación a las recomendaciones y observaciones emitidas al Poder</w:t>
      </w:r>
      <w:r w:rsidR="00474285" w:rsidRPr="003B1FCE">
        <w:rPr>
          <w:rFonts w:ascii="Arial" w:hAnsi="Arial" w:cs="Arial"/>
        </w:rPr>
        <w:t xml:space="preserve"> Judicial</w:t>
      </w:r>
      <w:r w:rsidRPr="003B1FCE">
        <w:rPr>
          <w:rFonts w:ascii="Arial" w:hAnsi="Arial" w:cs="Arial"/>
        </w:rPr>
        <w:t xml:space="preserve">, ambos sujetos obligados que integran el ámbito atendieron las mismas; sin embargo, </w:t>
      </w:r>
      <w:r w:rsidR="00474285" w:rsidRPr="003B1FCE">
        <w:rPr>
          <w:rFonts w:ascii="Arial" w:hAnsi="Arial" w:cs="Arial"/>
        </w:rPr>
        <w:t>el Consejo de la Judicatura cumplió con la totalidad de las recomendaciones y observaciones; mientras que el Tribunal Superior de Justicia continúa presentando áreas de oportunidad en la publicación de las versiones públicas de sus sentencias; sin embargo, este último se encuentra en un cumplimiento parcial</w:t>
      </w:r>
      <w:r w:rsidRPr="003B1FCE">
        <w:rPr>
          <w:rFonts w:ascii="Arial" w:hAnsi="Arial" w:cs="Arial"/>
        </w:rPr>
        <w:t xml:space="preserve">. </w:t>
      </w:r>
    </w:p>
    <w:p w:rsidR="00B018FB" w:rsidRDefault="00632D2C" w:rsidP="00B018FB">
      <w:pPr>
        <w:spacing w:before="100" w:beforeAutospacing="1" w:after="100" w:afterAutospacing="1" w:line="360" w:lineRule="auto"/>
        <w:jc w:val="both"/>
        <w:rPr>
          <w:rFonts w:ascii="Arial" w:hAnsi="Arial" w:cs="Arial"/>
        </w:rPr>
      </w:pPr>
      <w:r w:rsidRPr="003B1FCE">
        <w:rPr>
          <w:rFonts w:ascii="Arial" w:hAnsi="Arial" w:cs="Arial"/>
        </w:rPr>
        <w:t xml:space="preserve">Es importante resaltar que los sujetos de este ámbito tuvieron una mejoría promedio en su índice de </w:t>
      </w:r>
      <w:r w:rsidR="00385157" w:rsidRPr="003B1FCE">
        <w:rPr>
          <w:rFonts w:ascii="Arial" w:hAnsi="Arial" w:cs="Arial"/>
        </w:rPr>
        <w:t>4.59</w:t>
      </w:r>
      <w:r w:rsidRPr="003B1FCE">
        <w:rPr>
          <w:rFonts w:ascii="Arial" w:hAnsi="Arial" w:cs="Arial"/>
        </w:rPr>
        <w:t>%</w:t>
      </w:r>
      <w:r w:rsidR="00B018FB">
        <w:rPr>
          <w:rFonts w:ascii="Arial" w:hAnsi="Arial" w:cs="Arial"/>
        </w:rPr>
        <w:t>.</w:t>
      </w:r>
    </w:p>
    <w:p w:rsidR="00B018FB" w:rsidRPr="00B018FB" w:rsidRDefault="00B018FB" w:rsidP="00B018FB">
      <w:pPr>
        <w:rPr>
          <w:rFonts w:ascii="Arial" w:hAnsi="Arial" w:cs="Arial"/>
        </w:rPr>
      </w:pPr>
    </w:p>
    <w:p w:rsidR="00C60C1A" w:rsidRPr="003B1FCE" w:rsidRDefault="00C60C1A" w:rsidP="00FF7BD9">
      <w:pPr>
        <w:pStyle w:val="Ttulo1"/>
        <w:contextualSpacing/>
        <w:rPr>
          <w:rFonts w:ascii="Arial" w:hAnsi="Arial" w:cs="Arial"/>
          <w:b/>
          <w:color w:val="auto"/>
          <w:sz w:val="24"/>
          <w:szCs w:val="24"/>
        </w:rPr>
      </w:pPr>
      <w:bookmarkStart w:id="23" w:name="_Toc26913262"/>
      <w:r w:rsidRPr="003B1FCE">
        <w:rPr>
          <w:rFonts w:ascii="Arial" w:hAnsi="Arial" w:cs="Arial"/>
          <w:b/>
          <w:color w:val="auto"/>
          <w:sz w:val="24"/>
          <w:szCs w:val="24"/>
        </w:rPr>
        <w:t>ÓRGANOS AUTÓNOMOS</w:t>
      </w:r>
      <w:bookmarkEnd w:id="23"/>
    </w:p>
    <w:p w:rsidR="00C60C1A" w:rsidRPr="003B1FCE" w:rsidRDefault="00C60C1A" w:rsidP="00C60C1A">
      <w:pPr>
        <w:contextualSpacing/>
        <w:rPr>
          <w:rFonts w:ascii="Arial" w:hAnsi="Arial" w:cs="Arial"/>
        </w:rPr>
      </w:pPr>
    </w:p>
    <w:p w:rsidR="00C60C1A" w:rsidRPr="003B1FCE" w:rsidRDefault="00C60C1A" w:rsidP="00C60C1A">
      <w:pPr>
        <w:spacing w:before="100" w:beforeAutospacing="1" w:after="100" w:afterAutospacing="1" w:line="360" w:lineRule="auto"/>
        <w:contextualSpacing/>
        <w:jc w:val="both"/>
        <w:rPr>
          <w:rFonts w:ascii="Arial" w:hAnsi="Arial" w:cs="Arial"/>
        </w:rPr>
      </w:pPr>
      <w:r w:rsidRPr="003B1FCE">
        <w:rPr>
          <w:rFonts w:ascii="Arial" w:hAnsi="Arial" w:cs="Arial"/>
        </w:rPr>
        <w:t xml:space="preserve">El ámbito de los Órganos Autónomos está </w:t>
      </w:r>
      <w:r w:rsidR="00677E37" w:rsidRPr="003B1FCE">
        <w:rPr>
          <w:rFonts w:ascii="Arial" w:hAnsi="Arial" w:cs="Arial"/>
        </w:rPr>
        <w:t>integrado</w:t>
      </w:r>
      <w:r w:rsidRPr="003B1FCE">
        <w:rPr>
          <w:rFonts w:ascii="Arial" w:hAnsi="Arial" w:cs="Arial"/>
        </w:rPr>
        <w:t xml:space="preserve"> por siete sujetos obligados, de conformidad con el Padrón de sujetos obligados supeditados al cumplimiento de la Ley de Transparencia, Acceso a la Información Pública y Rendición de Cuentas de la Ciudad de México</w:t>
      </w:r>
      <w:r w:rsidRPr="003B1FCE" w:rsidDel="005B5D1B">
        <w:rPr>
          <w:rFonts w:ascii="Arial" w:hAnsi="Arial" w:cs="Arial"/>
        </w:rPr>
        <w:t xml:space="preserve"> </w:t>
      </w:r>
      <w:r w:rsidRPr="003B1FCE">
        <w:rPr>
          <w:rFonts w:ascii="Arial" w:hAnsi="Arial" w:cs="Arial"/>
        </w:rPr>
        <w:t>y de la Ley de Protección de Datos Personales en Posesión de los sujetos obligados de la Ciudad de México vigente al 31 de diciembre e 2018. De los siete sujetos obligados que integran el Padrón, seis sujetos obligados fueron evaluados debido a que el Tribunal de Justicia Administrativa</w:t>
      </w:r>
      <w:r w:rsidRPr="003B1FCE">
        <w:rPr>
          <w:rFonts w:ascii="Arial" w:eastAsia="Symbol" w:hAnsi="Arial" w:cs="Arial"/>
          <w:color w:val="000000"/>
        </w:rPr>
        <w:t xml:space="preserve"> de la Ciudad de México</w:t>
      </w:r>
      <w:r w:rsidRPr="003B1FCE">
        <w:rPr>
          <w:rFonts w:ascii="Arial" w:hAnsi="Arial" w:cs="Arial"/>
        </w:rPr>
        <w:t xml:space="preserve"> obtuvo un cumplimiento total del piso mínimo contemplado en la Ley de Transparencia Local en la Primera Evaluación Vinculante 2019. </w:t>
      </w:r>
    </w:p>
    <w:p w:rsidR="00C60C1A" w:rsidRPr="003B1FCE" w:rsidRDefault="00C60C1A" w:rsidP="00C60C1A">
      <w:pPr>
        <w:spacing w:before="100" w:beforeAutospacing="1" w:after="100" w:afterAutospacing="1" w:line="360" w:lineRule="auto"/>
        <w:contextualSpacing/>
        <w:jc w:val="both"/>
        <w:rPr>
          <w:rFonts w:ascii="Arial" w:hAnsi="Arial" w:cs="Arial"/>
        </w:rPr>
      </w:pPr>
    </w:p>
    <w:p w:rsidR="00C60C1A" w:rsidRPr="003B1FCE" w:rsidRDefault="00C60C1A" w:rsidP="00C60C1A">
      <w:pPr>
        <w:spacing w:before="100" w:beforeAutospacing="1" w:after="100" w:afterAutospacing="1" w:line="360" w:lineRule="auto"/>
        <w:contextualSpacing/>
        <w:jc w:val="both"/>
        <w:rPr>
          <w:rFonts w:ascii="Arial" w:hAnsi="Arial" w:cs="Arial"/>
        </w:rPr>
      </w:pPr>
      <w:r w:rsidRPr="003B1FCE">
        <w:rPr>
          <w:rFonts w:ascii="Arial" w:hAnsi="Arial" w:cs="Arial"/>
        </w:rPr>
        <w:t>Los sujetos obligados, así como su Índice de Cumplimiento de obligaciones de transparencia del Portal de Internet (IGOT-</w:t>
      </w:r>
      <w:r w:rsidR="00677E37" w:rsidRPr="003B1FCE">
        <w:rPr>
          <w:rFonts w:ascii="Arial" w:hAnsi="Arial" w:cs="Arial"/>
        </w:rPr>
        <w:t>PI</w:t>
      </w:r>
      <w:r w:rsidRPr="003B1FCE">
        <w:rPr>
          <w:rFonts w:ascii="Arial" w:hAnsi="Arial" w:cs="Arial"/>
        </w:rPr>
        <w:t xml:space="preserve">), el de la Plataforma Nacional de Transparencia (IGOT-PNT) y el Índice General de Cumplimiento de obligaciones de transparencia (IGOT) se presentan en la siguiente tabla, ordenados de forma descendente, respecto del IGOT: </w:t>
      </w:r>
    </w:p>
    <w:p w:rsidR="00C60C1A" w:rsidRPr="003B1FCE" w:rsidRDefault="00C60C1A" w:rsidP="00C60C1A">
      <w:pPr>
        <w:spacing w:before="100" w:beforeAutospacing="1" w:after="100" w:afterAutospacing="1" w:line="360" w:lineRule="auto"/>
        <w:contextualSpacing/>
        <w:jc w:val="both"/>
        <w:rPr>
          <w:rFonts w:ascii="Arial" w:hAnsi="Arial" w:cs="Arial"/>
        </w:rPr>
      </w:pPr>
    </w:p>
    <w:tbl>
      <w:tblPr>
        <w:tblW w:w="8926" w:type="dxa"/>
        <w:tblCellMar>
          <w:left w:w="70" w:type="dxa"/>
          <w:right w:w="70" w:type="dxa"/>
        </w:tblCellMar>
        <w:tblLook w:val="04A0" w:firstRow="1" w:lastRow="0" w:firstColumn="1" w:lastColumn="0" w:noHBand="0" w:noVBand="1"/>
      </w:tblPr>
      <w:tblGrid>
        <w:gridCol w:w="529"/>
        <w:gridCol w:w="5136"/>
        <w:gridCol w:w="1123"/>
        <w:gridCol w:w="1263"/>
        <w:gridCol w:w="875"/>
      </w:tblGrid>
      <w:tr w:rsidR="00C60C1A" w:rsidRPr="003B1FCE" w:rsidTr="00B018FB">
        <w:trPr>
          <w:trHeight w:val="860"/>
          <w:tblHeader/>
        </w:trPr>
        <w:tc>
          <w:tcPr>
            <w:tcW w:w="8926" w:type="dxa"/>
            <w:gridSpan w:val="5"/>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C60C1A" w:rsidRPr="003B1FCE" w:rsidRDefault="00C60C1A" w:rsidP="00C60C1A">
            <w:pPr>
              <w:jc w:val="center"/>
              <w:rPr>
                <w:rFonts w:ascii="Arial" w:hAnsi="Arial" w:cs="Arial"/>
                <w:b/>
                <w:bCs/>
                <w:color w:val="000000"/>
                <w:sz w:val="20"/>
                <w:szCs w:val="20"/>
              </w:rPr>
            </w:pPr>
            <w:r w:rsidRPr="003B1FCE">
              <w:rPr>
                <w:rFonts w:ascii="Arial" w:hAnsi="Arial" w:cs="Arial"/>
                <w:b/>
                <w:bCs/>
                <w:color w:val="000000"/>
                <w:sz w:val="20"/>
                <w:szCs w:val="20"/>
              </w:rPr>
              <w:t>Resultados de la Tercera Evaluación Vinculante 2019, respecto de las recomendaciones y observaciones de la Primera Evaluación Vinculante 2019</w:t>
            </w:r>
          </w:p>
        </w:tc>
      </w:tr>
      <w:tr w:rsidR="00C60C1A" w:rsidRPr="003B1FCE" w:rsidTr="00B018FB">
        <w:trPr>
          <w:trHeight w:val="340"/>
          <w:tblHeader/>
        </w:trPr>
        <w:tc>
          <w:tcPr>
            <w:tcW w:w="529" w:type="dxa"/>
            <w:tcBorders>
              <w:top w:val="nil"/>
              <w:left w:val="single" w:sz="4" w:space="0" w:color="auto"/>
              <w:bottom w:val="single" w:sz="4" w:space="0" w:color="auto"/>
              <w:right w:val="single" w:sz="4" w:space="0" w:color="auto"/>
            </w:tcBorders>
            <w:shd w:val="clear" w:color="auto" w:fill="ED7D31" w:themeFill="accent2"/>
            <w:vAlign w:val="center"/>
            <w:hideMark/>
          </w:tcPr>
          <w:p w:rsidR="00C60C1A" w:rsidRPr="003B1FCE" w:rsidRDefault="00C60C1A" w:rsidP="00C60C1A">
            <w:pPr>
              <w:jc w:val="center"/>
              <w:rPr>
                <w:rFonts w:ascii="Arial" w:hAnsi="Arial" w:cs="Arial"/>
                <w:b/>
                <w:bCs/>
                <w:color w:val="000000"/>
                <w:sz w:val="20"/>
                <w:szCs w:val="20"/>
              </w:rPr>
            </w:pPr>
            <w:r w:rsidRPr="003B1FCE">
              <w:rPr>
                <w:rFonts w:ascii="Arial" w:hAnsi="Arial" w:cs="Arial"/>
                <w:b/>
                <w:bCs/>
                <w:color w:val="000000"/>
                <w:sz w:val="20"/>
                <w:szCs w:val="20"/>
              </w:rPr>
              <w:t>No.</w:t>
            </w:r>
          </w:p>
        </w:tc>
        <w:tc>
          <w:tcPr>
            <w:tcW w:w="5136" w:type="dxa"/>
            <w:tcBorders>
              <w:top w:val="nil"/>
              <w:left w:val="nil"/>
              <w:bottom w:val="single" w:sz="4" w:space="0" w:color="auto"/>
              <w:right w:val="single" w:sz="4" w:space="0" w:color="auto"/>
            </w:tcBorders>
            <w:shd w:val="clear" w:color="auto" w:fill="ED7D31" w:themeFill="accent2"/>
            <w:vAlign w:val="center"/>
            <w:hideMark/>
          </w:tcPr>
          <w:p w:rsidR="00C60C1A" w:rsidRPr="003B1FCE" w:rsidRDefault="00C60C1A" w:rsidP="00C60C1A">
            <w:pPr>
              <w:jc w:val="center"/>
              <w:rPr>
                <w:rFonts w:ascii="Arial" w:hAnsi="Arial" w:cs="Arial"/>
                <w:b/>
                <w:bCs/>
                <w:color w:val="000000"/>
                <w:sz w:val="20"/>
                <w:szCs w:val="20"/>
              </w:rPr>
            </w:pPr>
            <w:r w:rsidRPr="003B1FCE">
              <w:rPr>
                <w:rFonts w:ascii="Arial" w:hAnsi="Arial" w:cs="Arial"/>
                <w:b/>
                <w:bCs/>
                <w:color w:val="000000"/>
                <w:sz w:val="20"/>
                <w:szCs w:val="20"/>
              </w:rPr>
              <w:t>Sujeto obligado</w:t>
            </w:r>
          </w:p>
        </w:tc>
        <w:tc>
          <w:tcPr>
            <w:tcW w:w="1123" w:type="dxa"/>
            <w:tcBorders>
              <w:top w:val="nil"/>
              <w:left w:val="nil"/>
              <w:bottom w:val="single" w:sz="4" w:space="0" w:color="auto"/>
              <w:right w:val="single" w:sz="4" w:space="0" w:color="auto"/>
            </w:tcBorders>
            <w:shd w:val="clear" w:color="auto" w:fill="ED7D31" w:themeFill="accent2"/>
            <w:vAlign w:val="center"/>
            <w:hideMark/>
          </w:tcPr>
          <w:p w:rsidR="00C60C1A" w:rsidRPr="003B1FCE" w:rsidRDefault="00C60C1A" w:rsidP="00C60C1A">
            <w:pPr>
              <w:jc w:val="center"/>
              <w:rPr>
                <w:rFonts w:ascii="Arial" w:hAnsi="Arial" w:cs="Arial"/>
                <w:b/>
                <w:bCs/>
                <w:color w:val="000000"/>
                <w:sz w:val="20"/>
                <w:szCs w:val="20"/>
              </w:rPr>
            </w:pPr>
            <w:r w:rsidRPr="003B1FCE">
              <w:rPr>
                <w:rFonts w:ascii="Arial" w:hAnsi="Arial" w:cs="Arial"/>
                <w:b/>
                <w:bCs/>
                <w:color w:val="000000"/>
                <w:sz w:val="20"/>
                <w:szCs w:val="20"/>
              </w:rPr>
              <w:t>ICOT-</w:t>
            </w:r>
            <w:r w:rsidR="00677E37" w:rsidRPr="003B1FCE">
              <w:rPr>
                <w:rFonts w:ascii="Arial" w:hAnsi="Arial" w:cs="Arial"/>
                <w:b/>
                <w:bCs/>
                <w:color w:val="000000"/>
                <w:sz w:val="20"/>
                <w:szCs w:val="20"/>
              </w:rPr>
              <w:t>PI</w:t>
            </w:r>
          </w:p>
        </w:tc>
        <w:tc>
          <w:tcPr>
            <w:tcW w:w="1263" w:type="dxa"/>
            <w:tcBorders>
              <w:top w:val="nil"/>
              <w:left w:val="nil"/>
              <w:bottom w:val="single" w:sz="4" w:space="0" w:color="auto"/>
              <w:right w:val="single" w:sz="4" w:space="0" w:color="auto"/>
            </w:tcBorders>
            <w:shd w:val="clear" w:color="auto" w:fill="ED7D31" w:themeFill="accent2"/>
            <w:vAlign w:val="center"/>
            <w:hideMark/>
          </w:tcPr>
          <w:p w:rsidR="00C60C1A" w:rsidRPr="003B1FCE" w:rsidRDefault="00C60C1A" w:rsidP="00C60C1A">
            <w:pPr>
              <w:jc w:val="center"/>
              <w:rPr>
                <w:rFonts w:ascii="Arial" w:hAnsi="Arial" w:cs="Arial"/>
                <w:b/>
                <w:bCs/>
                <w:color w:val="000000"/>
                <w:sz w:val="20"/>
                <w:szCs w:val="20"/>
              </w:rPr>
            </w:pPr>
            <w:r w:rsidRPr="003B1FCE">
              <w:rPr>
                <w:rFonts w:ascii="Arial" w:hAnsi="Arial" w:cs="Arial"/>
                <w:b/>
                <w:bCs/>
                <w:color w:val="000000"/>
                <w:sz w:val="20"/>
                <w:szCs w:val="20"/>
              </w:rPr>
              <w:t>ICOT-PNT</w:t>
            </w:r>
          </w:p>
        </w:tc>
        <w:tc>
          <w:tcPr>
            <w:tcW w:w="875" w:type="dxa"/>
            <w:tcBorders>
              <w:top w:val="nil"/>
              <w:left w:val="nil"/>
              <w:bottom w:val="single" w:sz="4" w:space="0" w:color="auto"/>
              <w:right w:val="single" w:sz="4" w:space="0" w:color="auto"/>
            </w:tcBorders>
            <w:shd w:val="clear" w:color="auto" w:fill="ED7D31" w:themeFill="accent2"/>
            <w:vAlign w:val="center"/>
            <w:hideMark/>
          </w:tcPr>
          <w:p w:rsidR="00C60C1A" w:rsidRPr="003B1FCE" w:rsidRDefault="00C60C1A" w:rsidP="00C60C1A">
            <w:pPr>
              <w:jc w:val="center"/>
              <w:rPr>
                <w:rFonts w:ascii="Arial" w:hAnsi="Arial" w:cs="Arial"/>
                <w:b/>
                <w:bCs/>
                <w:color w:val="000000"/>
                <w:sz w:val="20"/>
                <w:szCs w:val="20"/>
              </w:rPr>
            </w:pPr>
            <w:r w:rsidRPr="003B1FCE">
              <w:rPr>
                <w:rFonts w:ascii="Arial" w:hAnsi="Arial" w:cs="Arial"/>
                <w:b/>
                <w:bCs/>
                <w:color w:val="000000"/>
                <w:sz w:val="20"/>
                <w:szCs w:val="20"/>
              </w:rPr>
              <w:t>IGOT</w:t>
            </w:r>
          </w:p>
        </w:tc>
      </w:tr>
      <w:tr w:rsidR="00C60C1A" w:rsidRPr="003B1FCE" w:rsidTr="00C60C1A">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t>1</w:t>
            </w:r>
          </w:p>
        </w:tc>
        <w:tc>
          <w:tcPr>
            <w:tcW w:w="5136"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both"/>
              <w:rPr>
                <w:rFonts w:ascii="Arial" w:hAnsi="Arial" w:cs="Arial"/>
                <w:color w:val="000000"/>
                <w:sz w:val="20"/>
                <w:szCs w:val="20"/>
              </w:rPr>
            </w:pPr>
            <w:r w:rsidRPr="003B1FCE">
              <w:rPr>
                <w:rFonts w:ascii="Arial" w:hAnsi="Arial" w:cs="Arial"/>
                <w:color w:val="000000"/>
                <w:sz w:val="20"/>
                <w:szCs w:val="20"/>
              </w:rPr>
              <w:t>Junta Local de Conciliación y Arbitraje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t>100.00</w:t>
            </w:r>
          </w:p>
        </w:tc>
      </w:tr>
      <w:tr w:rsidR="00C60C1A" w:rsidRPr="003B1FCE" w:rsidTr="00C60C1A">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t>2</w:t>
            </w:r>
          </w:p>
        </w:tc>
        <w:tc>
          <w:tcPr>
            <w:tcW w:w="5136"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both"/>
              <w:rPr>
                <w:rFonts w:ascii="Arial" w:hAnsi="Arial" w:cs="Arial"/>
                <w:color w:val="000000"/>
                <w:sz w:val="20"/>
                <w:szCs w:val="20"/>
              </w:rPr>
            </w:pPr>
            <w:r w:rsidRPr="003B1FCE">
              <w:rPr>
                <w:rFonts w:ascii="Arial" w:hAnsi="Arial" w:cs="Arial"/>
                <w:color w:val="000000"/>
                <w:sz w:val="20"/>
                <w:szCs w:val="20"/>
              </w:rPr>
              <w:t>Comisión de Derechos Humanos del Distrito Federal</w:t>
            </w:r>
          </w:p>
        </w:tc>
        <w:tc>
          <w:tcPr>
            <w:tcW w:w="1123"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t>100.00</w:t>
            </w:r>
          </w:p>
        </w:tc>
      </w:tr>
      <w:tr w:rsidR="00C60C1A" w:rsidRPr="003B1FCE" w:rsidTr="00C60C1A">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t>3</w:t>
            </w:r>
          </w:p>
        </w:tc>
        <w:tc>
          <w:tcPr>
            <w:tcW w:w="5136"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both"/>
              <w:rPr>
                <w:rFonts w:ascii="Arial" w:hAnsi="Arial" w:cs="Arial"/>
                <w:color w:val="000000"/>
                <w:sz w:val="20"/>
                <w:szCs w:val="20"/>
              </w:rPr>
            </w:pPr>
            <w:r w:rsidRPr="003B1FCE">
              <w:rPr>
                <w:rFonts w:ascii="Arial" w:hAnsi="Arial" w:cs="Arial"/>
                <w:color w:val="000000"/>
                <w:sz w:val="20"/>
                <w:szCs w:val="20"/>
              </w:rPr>
              <w:t>Instituto Electoral de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t>100.00</w:t>
            </w:r>
          </w:p>
        </w:tc>
      </w:tr>
      <w:tr w:rsidR="00C60C1A" w:rsidRPr="003B1FCE" w:rsidTr="00C60C1A">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t>4</w:t>
            </w:r>
          </w:p>
        </w:tc>
        <w:tc>
          <w:tcPr>
            <w:tcW w:w="5136"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both"/>
              <w:rPr>
                <w:rFonts w:ascii="Arial" w:hAnsi="Arial" w:cs="Arial"/>
                <w:color w:val="000000"/>
                <w:sz w:val="20"/>
                <w:szCs w:val="20"/>
              </w:rPr>
            </w:pPr>
            <w:r w:rsidRPr="003B1FCE">
              <w:rPr>
                <w:rFonts w:ascii="Arial" w:hAnsi="Arial" w:cs="Arial"/>
                <w:color w:val="000000"/>
                <w:sz w:val="20"/>
                <w:szCs w:val="20"/>
              </w:rPr>
              <w:t>Tribunal Electoral de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t>99.69</w:t>
            </w:r>
          </w:p>
        </w:tc>
        <w:tc>
          <w:tcPr>
            <w:tcW w:w="1263"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t>99.61</w:t>
            </w:r>
          </w:p>
        </w:tc>
        <w:tc>
          <w:tcPr>
            <w:tcW w:w="875"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t>99.65</w:t>
            </w:r>
          </w:p>
        </w:tc>
      </w:tr>
      <w:tr w:rsidR="00C60C1A" w:rsidRPr="003B1FCE" w:rsidTr="00C60C1A">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lastRenderedPageBreak/>
              <w:t>5</w:t>
            </w:r>
          </w:p>
        </w:tc>
        <w:tc>
          <w:tcPr>
            <w:tcW w:w="5136"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both"/>
              <w:rPr>
                <w:rFonts w:ascii="Arial" w:hAnsi="Arial" w:cs="Arial"/>
                <w:color w:val="000000"/>
                <w:sz w:val="20"/>
                <w:szCs w:val="20"/>
              </w:rPr>
            </w:pPr>
            <w:r w:rsidRPr="003B1FCE">
              <w:rPr>
                <w:rFonts w:ascii="Arial" w:hAnsi="Arial" w:cs="Arial"/>
                <w:color w:val="000000"/>
                <w:sz w:val="20"/>
                <w:szCs w:val="20"/>
              </w:rPr>
              <w:t>Instituto de Transparencia, Acceso a la Información Pública, Protección de Datos Personales y Rendición de Cuentas de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t>98.54</w:t>
            </w:r>
          </w:p>
        </w:tc>
        <w:tc>
          <w:tcPr>
            <w:tcW w:w="1263"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t>96.18</w:t>
            </w:r>
          </w:p>
        </w:tc>
        <w:tc>
          <w:tcPr>
            <w:tcW w:w="875"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t>97.36</w:t>
            </w:r>
          </w:p>
        </w:tc>
      </w:tr>
      <w:tr w:rsidR="00C60C1A" w:rsidRPr="003B1FCE" w:rsidTr="00C60C1A">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t>6</w:t>
            </w:r>
          </w:p>
        </w:tc>
        <w:tc>
          <w:tcPr>
            <w:tcW w:w="5136"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both"/>
              <w:rPr>
                <w:rFonts w:ascii="Arial" w:hAnsi="Arial" w:cs="Arial"/>
                <w:color w:val="000000"/>
                <w:sz w:val="20"/>
                <w:szCs w:val="20"/>
              </w:rPr>
            </w:pPr>
            <w:r w:rsidRPr="003B1FCE">
              <w:rPr>
                <w:rFonts w:ascii="Arial" w:hAnsi="Arial" w:cs="Arial"/>
                <w:color w:val="000000"/>
                <w:sz w:val="20"/>
                <w:szCs w:val="20"/>
              </w:rPr>
              <w:t>Universidad Autónoma de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t>61.39</w:t>
            </w:r>
          </w:p>
        </w:tc>
        <w:tc>
          <w:tcPr>
            <w:tcW w:w="1263"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t>74.58</w:t>
            </w:r>
          </w:p>
        </w:tc>
        <w:tc>
          <w:tcPr>
            <w:tcW w:w="875" w:type="dxa"/>
            <w:tcBorders>
              <w:top w:val="nil"/>
              <w:left w:val="nil"/>
              <w:bottom w:val="single" w:sz="4" w:space="0" w:color="auto"/>
              <w:right w:val="single" w:sz="4" w:space="0" w:color="auto"/>
            </w:tcBorders>
            <w:shd w:val="clear" w:color="auto" w:fill="auto"/>
            <w:vAlign w:val="center"/>
            <w:hideMark/>
          </w:tcPr>
          <w:p w:rsidR="00C60C1A" w:rsidRPr="003B1FCE" w:rsidRDefault="00C60C1A" w:rsidP="00C60C1A">
            <w:pPr>
              <w:jc w:val="center"/>
              <w:rPr>
                <w:rFonts w:ascii="Arial" w:hAnsi="Arial" w:cs="Arial"/>
                <w:color w:val="000000"/>
                <w:sz w:val="20"/>
                <w:szCs w:val="20"/>
              </w:rPr>
            </w:pPr>
            <w:r w:rsidRPr="003B1FCE">
              <w:rPr>
                <w:rFonts w:ascii="Arial" w:hAnsi="Arial" w:cs="Arial"/>
                <w:color w:val="000000"/>
                <w:sz w:val="20"/>
                <w:szCs w:val="20"/>
              </w:rPr>
              <w:t>67.99</w:t>
            </w:r>
          </w:p>
        </w:tc>
      </w:tr>
    </w:tbl>
    <w:p w:rsidR="00C60C1A" w:rsidRPr="003B1FCE" w:rsidRDefault="00C60C1A" w:rsidP="00C60C1A">
      <w:pPr>
        <w:spacing w:before="100" w:beforeAutospacing="1" w:after="100" w:afterAutospacing="1" w:line="360" w:lineRule="auto"/>
        <w:contextualSpacing/>
        <w:jc w:val="both"/>
        <w:rPr>
          <w:rFonts w:ascii="Arial" w:hAnsi="Arial" w:cs="Arial"/>
          <w:sz w:val="16"/>
          <w:szCs w:val="16"/>
        </w:rPr>
      </w:pPr>
      <w:r w:rsidRPr="003B1FCE">
        <w:rPr>
          <w:rFonts w:ascii="Arial" w:hAnsi="Arial" w:cs="Arial"/>
          <w:b/>
          <w:sz w:val="16"/>
          <w:szCs w:val="16"/>
        </w:rPr>
        <w:t>Nota metodológica</w:t>
      </w:r>
      <w:r w:rsidRPr="003B1FCE">
        <w:rPr>
          <w:rFonts w:ascii="Arial" w:hAnsi="Arial" w:cs="Arial"/>
          <w:sz w:val="16"/>
          <w:szCs w:val="16"/>
        </w:rPr>
        <w:t xml:space="preserve">: </w:t>
      </w:r>
    </w:p>
    <w:p w:rsidR="00C60C1A" w:rsidRPr="003B1FCE" w:rsidRDefault="00C60C1A" w:rsidP="00C60C1A">
      <w:pPr>
        <w:spacing w:before="100" w:beforeAutospacing="1" w:after="100" w:afterAutospacing="1" w:line="360" w:lineRule="auto"/>
        <w:contextualSpacing/>
        <w:jc w:val="both"/>
        <w:rPr>
          <w:rFonts w:ascii="Arial" w:hAnsi="Arial" w:cs="Arial"/>
          <w:sz w:val="16"/>
          <w:szCs w:val="16"/>
        </w:rPr>
      </w:pPr>
      <w:r w:rsidRPr="003B1FCE">
        <w:rPr>
          <w:rFonts w:ascii="Arial" w:hAnsi="Arial" w:cs="Arial"/>
          <w:sz w:val="16"/>
          <w:szCs w:val="16"/>
        </w:rPr>
        <w:t>El IGOT se compone del promedio de ICOT-</w:t>
      </w:r>
      <w:r w:rsidR="00677E37" w:rsidRPr="003B1FCE">
        <w:rPr>
          <w:rFonts w:ascii="Arial" w:hAnsi="Arial" w:cs="Arial"/>
          <w:sz w:val="16"/>
          <w:szCs w:val="16"/>
        </w:rPr>
        <w:t>PI</w:t>
      </w:r>
      <w:r w:rsidRPr="003B1FCE">
        <w:rPr>
          <w:rFonts w:ascii="Arial" w:hAnsi="Arial" w:cs="Arial"/>
          <w:sz w:val="16"/>
          <w:szCs w:val="16"/>
        </w:rPr>
        <w:t xml:space="preserve"> e ICOT-PNT.</w:t>
      </w:r>
    </w:p>
    <w:p w:rsidR="00C60C1A" w:rsidRPr="003B1FCE" w:rsidRDefault="00C60C1A" w:rsidP="00C60C1A">
      <w:pPr>
        <w:spacing w:before="100" w:beforeAutospacing="1" w:after="100" w:afterAutospacing="1" w:line="360" w:lineRule="auto"/>
        <w:contextualSpacing/>
        <w:jc w:val="both"/>
        <w:rPr>
          <w:rFonts w:ascii="Arial" w:hAnsi="Arial" w:cs="Arial"/>
          <w:color w:val="000000"/>
          <w:sz w:val="16"/>
          <w:szCs w:val="16"/>
        </w:rPr>
      </w:pPr>
      <w:r w:rsidRPr="003B1FCE">
        <w:rPr>
          <w:rFonts w:ascii="Arial" w:hAnsi="Arial" w:cs="Arial"/>
          <w:b/>
          <w:bCs/>
          <w:color w:val="000000"/>
          <w:sz w:val="16"/>
          <w:szCs w:val="16"/>
        </w:rPr>
        <w:t>%</w:t>
      </w:r>
      <w:proofErr w:type="spellStart"/>
      <w:r w:rsidRPr="003B1FCE">
        <w:rPr>
          <w:rFonts w:ascii="Arial" w:hAnsi="Arial" w:cs="Arial"/>
          <w:b/>
          <w:bCs/>
          <w:color w:val="000000"/>
          <w:sz w:val="16"/>
          <w:szCs w:val="16"/>
        </w:rPr>
        <w:t>Inf</w:t>
      </w:r>
      <w:proofErr w:type="spellEnd"/>
      <w:r w:rsidRPr="003B1FCE">
        <w:rPr>
          <w:rFonts w:ascii="Arial" w:hAnsi="Arial" w:cs="Arial"/>
          <w:b/>
          <w:bCs/>
          <w:color w:val="000000"/>
          <w:sz w:val="16"/>
          <w:szCs w:val="16"/>
        </w:rPr>
        <w:t xml:space="preserve"> </w:t>
      </w:r>
      <w:r w:rsidR="00677E37" w:rsidRPr="003B1FCE">
        <w:rPr>
          <w:rFonts w:ascii="Arial" w:hAnsi="Arial" w:cs="Arial"/>
          <w:b/>
          <w:bCs/>
          <w:color w:val="000000"/>
          <w:sz w:val="16"/>
          <w:szCs w:val="16"/>
        </w:rPr>
        <w:t>PI</w:t>
      </w:r>
      <w:r w:rsidRPr="003B1FCE">
        <w:rPr>
          <w:rFonts w:ascii="Arial" w:hAnsi="Arial" w:cs="Arial"/>
          <w:b/>
          <w:bCs/>
          <w:color w:val="000000"/>
          <w:sz w:val="16"/>
          <w:szCs w:val="16"/>
        </w:rPr>
        <w:t>:</w:t>
      </w:r>
      <w:r w:rsidRPr="003B1FCE">
        <w:rPr>
          <w:rFonts w:ascii="Arial" w:hAnsi="Arial" w:cs="Arial"/>
          <w:color w:val="000000"/>
          <w:sz w:val="16"/>
          <w:szCs w:val="16"/>
        </w:rPr>
        <w:t xml:space="preserve"> corresponde al porcentaje del índice que hace referencia a la información que se encuentra publicada y actualizada en el Portal de Internet (PI) del sujeto obligado. </w:t>
      </w:r>
    </w:p>
    <w:p w:rsidR="00C60C1A" w:rsidRPr="003B1FCE" w:rsidRDefault="00C60C1A" w:rsidP="00C60C1A">
      <w:pPr>
        <w:spacing w:before="100" w:beforeAutospacing="1" w:after="100" w:afterAutospacing="1" w:line="360" w:lineRule="auto"/>
        <w:contextualSpacing/>
        <w:jc w:val="both"/>
        <w:rPr>
          <w:rFonts w:ascii="Arial" w:hAnsi="Arial" w:cs="Arial"/>
          <w:color w:val="000000"/>
          <w:sz w:val="16"/>
          <w:szCs w:val="16"/>
        </w:rPr>
      </w:pPr>
      <w:r w:rsidRPr="003B1FCE">
        <w:rPr>
          <w:rFonts w:ascii="Arial" w:hAnsi="Arial" w:cs="Arial"/>
          <w:b/>
          <w:bCs/>
          <w:color w:val="000000"/>
          <w:sz w:val="16"/>
          <w:szCs w:val="16"/>
        </w:rPr>
        <w:t>%</w:t>
      </w:r>
      <w:proofErr w:type="spellStart"/>
      <w:r w:rsidRPr="003B1FCE">
        <w:rPr>
          <w:rFonts w:ascii="Arial" w:hAnsi="Arial" w:cs="Arial"/>
          <w:b/>
          <w:bCs/>
          <w:color w:val="000000"/>
          <w:sz w:val="16"/>
          <w:szCs w:val="16"/>
        </w:rPr>
        <w:t>Inf</w:t>
      </w:r>
      <w:proofErr w:type="spellEnd"/>
      <w:r w:rsidRPr="003B1FCE">
        <w:rPr>
          <w:rFonts w:ascii="Arial" w:hAnsi="Arial" w:cs="Arial"/>
          <w:b/>
          <w:bCs/>
          <w:color w:val="000000"/>
          <w:sz w:val="16"/>
          <w:szCs w:val="16"/>
        </w:rPr>
        <w:t xml:space="preserve"> PNT:</w:t>
      </w:r>
      <w:r w:rsidRPr="003B1FCE">
        <w:rPr>
          <w:rFonts w:ascii="Arial" w:hAnsi="Arial" w:cs="Arial"/>
          <w:color w:val="000000"/>
          <w:sz w:val="16"/>
          <w:szCs w:val="16"/>
        </w:rPr>
        <w:t xml:space="preserve"> corresponde al porcentaje del índice que hace referencia a la información que se encuentra publicada y actualizada en la Plataforma Nacional de Transparencia (PNT) del sujeto obligado.</w:t>
      </w:r>
    </w:p>
    <w:p w:rsidR="00C60C1A" w:rsidRPr="003B1FCE" w:rsidRDefault="00C60C1A" w:rsidP="00C60C1A">
      <w:pPr>
        <w:spacing w:before="100" w:beforeAutospacing="1" w:after="100" w:afterAutospacing="1" w:line="360" w:lineRule="auto"/>
        <w:contextualSpacing/>
        <w:jc w:val="both"/>
        <w:rPr>
          <w:rFonts w:ascii="Arial" w:hAnsi="Arial" w:cs="Arial"/>
          <w:color w:val="000000"/>
          <w:sz w:val="16"/>
          <w:szCs w:val="16"/>
        </w:rPr>
      </w:pPr>
      <w:r w:rsidRPr="003B1FCE">
        <w:rPr>
          <w:rFonts w:ascii="Arial" w:hAnsi="Arial" w:cs="Arial"/>
          <w:b/>
          <w:bCs/>
          <w:color w:val="000000"/>
          <w:sz w:val="16"/>
          <w:szCs w:val="16"/>
        </w:rPr>
        <w:t>%</w:t>
      </w:r>
      <w:proofErr w:type="spellStart"/>
      <w:r w:rsidRPr="003B1FCE">
        <w:rPr>
          <w:rFonts w:ascii="Arial" w:hAnsi="Arial" w:cs="Arial"/>
          <w:b/>
          <w:bCs/>
          <w:color w:val="000000"/>
          <w:sz w:val="16"/>
          <w:szCs w:val="16"/>
        </w:rPr>
        <w:t>Inf</w:t>
      </w:r>
      <w:proofErr w:type="spellEnd"/>
      <w:r w:rsidRPr="003B1FCE">
        <w:rPr>
          <w:rFonts w:ascii="Arial" w:hAnsi="Arial" w:cs="Arial"/>
          <w:b/>
          <w:bCs/>
          <w:color w:val="000000"/>
          <w:sz w:val="16"/>
          <w:szCs w:val="16"/>
        </w:rPr>
        <w:t xml:space="preserve"> IGOT: </w:t>
      </w:r>
      <w:r w:rsidRPr="003B1FCE">
        <w:rPr>
          <w:rFonts w:ascii="Arial" w:hAnsi="Arial" w:cs="Arial"/>
          <w:color w:val="000000"/>
          <w:sz w:val="16"/>
          <w:szCs w:val="16"/>
        </w:rPr>
        <w:t>corresponde al porcentaje del índice que hace referencia a la información que se encuentra publicada y actualizada tanto en la PNT y el PI del sujeto obligado.</w:t>
      </w:r>
    </w:p>
    <w:p w:rsidR="00C60C1A" w:rsidRPr="003B1FCE" w:rsidRDefault="00C60C1A" w:rsidP="00C60C1A">
      <w:pPr>
        <w:spacing w:before="100" w:beforeAutospacing="1" w:after="100" w:afterAutospacing="1" w:line="360" w:lineRule="auto"/>
        <w:contextualSpacing/>
        <w:jc w:val="both"/>
        <w:rPr>
          <w:rFonts w:ascii="Arial" w:hAnsi="Arial" w:cs="Arial"/>
          <w:color w:val="000000"/>
        </w:rPr>
      </w:pPr>
    </w:p>
    <w:p w:rsidR="00C60C1A" w:rsidRPr="003B1FCE" w:rsidRDefault="00C60C1A" w:rsidP="00C60C1A">
      <w:pPr>
        <w:spacing w:before="100" w:beforeAutospacing="1" w:after="100" w:afterAutospacing="1" w:line="360" w:lineRule="auto"/>
        <w:contextualSpacing/>
        <w:jc w:val="both"/>
        <w:rPr>
          <w:rFonts w:ascii="Arial" w:hAnsi="Arial" w:cs="Arial"/>
          <w:color w:val="000000"/>
        </w:rPr>
      </w:pPr>
      <w:r w:rsidRPr="003B1FCE">
        <w:rPr>
          <w:rFonts w:ascii="Arial" w:hAnsi="Arial" w:cs="Arial"/>
        </w:rPr>
        <w:t>En atención a la Tabla de Aplicabilidad realizada por la DEAEE del Instituto, las obligaciones que los</w:t>
      </w:r>
      <w:r w:rsidR="00E55AB5" w:rsidRPr="003B1FCE">
        <w:rPr>
          <w:rFonts w:ascii="Arial" w:hAnsi="Arial" w:cs="Arial"/>
        </w:rPr>
        <w:t xml:space="preserve"> Órganos Autónomos</w:t>
      </w:r>
      <w:r w:rsidRPr="003B1FCE">
        <w:rPr>
          <w:rFonts w:ascii="Arial" w:hAnsi="Arial" w:cs="Arial"/>
        </w:rPr>
        <w:t xml:space="preserve"> deben actualizar y publicar en el SIPOT de la PNT, así como en sus respectivos portales de internet son las contempladas en los siguientes artículos: </w:t>
      </w:r>
    </w:p>
    <w:p w:rsidR="00C60C1A" w:rsidRPr="003B1FCE" w:rsidRDefault="00C60C1A" w:rsidP="00FF7BD9">
      <w:pPr>
        <w:pStyle w:val="Prrafodelista"/>
        <w:numPr>
          <w:ilvl w:val="0"/>
          <w:numId w:val="14"/>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121. Obligaciones comunes, </w:t>
      </w:r>
    </w:p>
    <w:p w:rsidR="00C60C1A" w:rsidRPr="003B1FCE" w:rsidRDefault="00C60C1A" w:rsidP="00FF7BD9">
      <w:pPr>
        <w:pStyle w:val="Prrafodelista"/>
        <w:numPr>
          <w:ilvl w:val="0"/>
          <w:numId w:val="14"/>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126 apartado primero. Obligaciones específicas del Poder Judicial, </w:t>
      </w:r>
    </w:p>
    <w:p w:rsidR="00C60C1A" w:rsidRPr="003B1FCE" w:rsidRDefault="00C60C1A" w:rsidP="00FF7BD9">
      <w:pPr>
        <w:pStyle w:val="Prrafodelista"/>
        <w:numPr>
          <w:ilvl w:val="0"/>
          <w:numId w:val="14"/>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128. Obligaciones Específicas de las Autoridades Electorales, </w:t>
      </w:r>
    </w:p>
    <w:p w:rsidR="00C60C1A" w:rsidRPr="003B1FCE" w:rsidRDefault="00C60C1A" w:rsidP="00FF7BD9">
      <w:pPr>
        <w:pStyle w:val="Prrafodelista"/>
        <w:numPr>
          <w:ilvl w:val="0"/>
          <w:numId w:val="14"/>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Artículo 132. Obligaciones Específicas de la Comisión de Derechos Humanos,</w:t>
      </w:r>
    </w:p>
    <w:p w:rsidR="00C60C1A" w:rsidRPr="003B1FCE" w:rsidRDefault="00C60C1A" w:rsidP="00FF7BD9">
      <w:pPr>
        <w:pStyle w:val="Prrafodelista"/>
        <w:numPr>
          <w:ilvl w:val="0"/>
          <w:numId w:val="14"/>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Artículo 133. Obligaciones Específicas del Instituto de Transparencia, Acceso a la Información Pública, Protección de Datos Personales y Rendición de Cuentas de la Ciudad de México,</w:t>
      </w:r>
    </w:p>
    <w:p w:rsidR="00C60C1A" w:rsidRPr="003B1FCE" w:rsidRDefault="00C60C1A" w:rsidP="00FF7BD9">
      <w:pPr>
        <w:pStyle w:val="Prrafodelista"/>
        <w:numPr>
          <w:ilvl w:val="0"/>
          <w:numId w:val="14"/>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134. Obligaciones Específicas de la Universidad Autónoma de la Ciudad de México, </w:t>
      </w:r>
    </w:p>
    <w:p w:rsidR="00C60C1A" w:rsidRPr="003B1FCE" w:rsidRDefault="00C60C1A" w:rsidP="00FF7BD9">
      <w:pPr>
        <w:pStyle w:val="Prrafodelista"/>
        <w:numPr>
          <w:ilvl w:val="0"/>
          <w:numId w:val="14"/>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Artículo 137. Obligaciones de la Junta Local de Conciliación y Arbitraje,</w:t>
      </w:r>
    </w:p>
    <w:p w:rsidR="00C60C1A" w:rsidRPr="003B1FCE" w:rsidRDefault="00C60C1A" w:rsidP="00FF7BD9">
      <w:pPr>
        <w:pStyle w:val="Prrafodelista"/>
        <w:numPr>
          <w:ilvl w:val="0"/>
          <w:numId w:val="14"/>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145. Disposiciones Particulares, </w:t>
      </w:r>
    </w:p>
    <w:p w:rsidR="00C60C1A" w:rsidRPr="003B1FCE" w:rsidRDefault="00C60C1A" w:rsidP="00FF7BD9">
      <w:pPr>
        <w:pStyle w:val="Prrafodelista"/>
        <w:numPr>
          <w:ilvl w:val="0"/>
          <w:numId w:val="14"/>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lastRenderedPageBreak/>
        <w:t xml:space="preserve">Artículo 146. Disposiciones Particulares, </w:t>
      </w:r>
    </w:p>
    <w:p w:rsidR="00C60C1A" w:rsidRPr="003B1FCE" w:rsidRDefault="00C60C1A" w:rsidP="00FF7BD9">
      <w:pPr>
        <w:pStyle w:val="Prrafodelista"/>
        <w:numPr>
          <w:ilvl w:val="0"/>
          <w:numId w:val="14"/>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147. Disposiciones Particulares. </w:t>
      </w:r>
    </w:p>
    <w:p w:rsidR="00C60C1A" w:rsidRPr="003B1FCE" w:rsidRDefault="00C60C1A" w:rsidP="00FF7BD9">
      <w:pPr>
        <w:pStyle w:val="Ttulo2"/>
        <w:contextualSpacing/>
        <w:jc w:val="both"/>
        <w:rPr>
          <w:rFonts w:ascii="Arial" w:hAnsi="Arial" w:cs="Arial"/>
          <w:b/>
          <w:color w:val="auto"/>
          <w:sz w:val="24"/>
          <w:szCs w:val="24"/>
        </w:rPr>
      </w:pPr>
      <w:bookmarkStart w:id="24" w:name="_Toc26913263"/>
      <w:r w:rsidRPr="003B1FCE">
        <w:rPr>
          <w:rFonts w:ascii="Arial" w:hAnsi="Arial" w:cs="Arial"/>
          <w:b/>
          <w:color w:val="auto"/>
          <w:sz w:val="24"/>
          <w:szCs w:val="24"/>
        </w:rPr>
        <w:t>Análisis global de cumplimiento de</w:t>
      </w:r>
      <w:r w:rsidR="0007356A" w:rsidRPr="003B1FCE">
        <w:rPr>
          <w:rFonts w:ascii="Arial" w:hAnsi="Arial" w:cs="Arial"/>
          <w:b/>
          <w:color w:val="auto"/>
          <w:sz w:val="24"/>
          <w:szCs w:val="24"/>
        </w:rPr>
        <w:t xml:space="preserve"> los Órganos Autónomos</w:t>
      </w:r>
      <w:bookmarkEnd w:id="24"/>
    </w:p>
    <w:p w:rsidR="00C60C1A" w:rsidRPr="003B1FCE" w:rsidRDefault="00C60C1A" w:rsidP="00C60C1A">
      <w:pPr>
        <w:rPr>
          <w:rFonts w:ascii="Arial" w:hAnsi="Arial" w:cs="Arial"/>
        </w:rPr>
      </w:pPr>
    </w:p>
    <w:p w:rsidR="00C60C1A" w:rsidRPr="003B1FCE" w:rsidRDefault="00C60C1A" w:rsidP="00C60C1A">
      <w:pPr>
        <w:spacing w:before="100" w:beforeAutospacing="1" w:after="100" w:afterAutospacing="1" w:line="360" w:lineRule="auto"/>
        <w:contextualSpacing/>
        <w:jc w:val="both"/>
        <w:rPr>
          <w:rFonts w:ascii="Arial" w:hAnsi="Arial" w:cs="Arial"/>
          <w:u w:val="single"/>
        </w:rPr>
      </w:pPr>
      <w:r w:rsidRPr="003B1FCE">
        <w:rPr>
          <w:rFonts w:ascii="Arial" w:hAnsi="Arial" w:cs="Arial"/>
          <w:u w:val="single"/>
        </w:rPr>
        <w:t>Índices Globales de Cumplimiento de las obligaciones de transparencia</w:t>
      </w:r>
    </w:p>
    <w:p w:rsidR="00C60C1A" w:rsidRPr="003B1FCE" w:rsidRDefault="00C60C1A" w:rsidP="00C60C1A">
      <w:pPr>
        <w:spacing w:before="100" w:beforeAutospacing="1" w:after="100" w:afterAutospacing="1" w:line="360" w:lineRule="auto"/>
        <w:contextualSpacing/>
        <w:jc w:val="both"/>
        <w:rPr>
          <w:rFonts w:ascii="Arial" w:hAnsi="Arial" w:cs="Arial"/>
        </w:rPr>
      </w:pPr>
    </w:p>
    <w:p w:rsidR="00C60C1A" w:rsidRPr="003B1FCE" w:rsidRDefault="00C60C1A" w:rsidP="00C60C1A">
      <w:pPr>
        <w:spacing w:before="100" w:beforeAutospacing="1" w:after="100" w:afterAutospacing="1" w:line="360" w:lineRule="auto"/>
        <w:contextualSpacing/>
        <w:jc w:val="both"/>
        <w:rPr>
          <w:rFonts w:ascii="Arial" w:hAnsi="Arial" w:cs="Arial"/>
        </w:rPr>
      </w:pPr>
      <w:r w:rsidRPr="003B1FCE">
        <w:rPr>
          <w:rFonts w:ascii="Arial" w:hAnsi="Arial" w:cs="Arial"/>
        </w:rPr>
        <w:t>El ámbito de los Órganos Autónomos obtuvo un IGOT de 94.16%, el cual está compuesto por un índice de 95.06% en lo que corresponde a la Plataforma Nacional de Transparencia (PNT) y un índice de 93.27% en lo que se refiere al Portal de Transparencia (</w:t>
      </w:r>
      <w:r w:rsidR="00677E37" w:rsidRPr="003B1FCE">
        <w:rPr>
          <w:rFonts w:ascii="Arial" w:hAnsi="Arial" w:cs="Arial"/>
        </w:rPr>
        <w:t>PI</w:t>
      </w:r>
      <w:r w:rsidRPr="003B1FCE">
        <w:rPr>
          <w:rFonts w:ascii="Arial" w:hAnsi="Arial" w:cs="Arial"/>
        </w:rPr>
        <w:t>).</w:t>
      </w:r>
    </w:p>
    <w:p w:rsidR="00C60C1A" w:rsidRPr="003B1FCE" w:rsidRDefault="00C60C1A" w:rsidP="00C60C1A">
      <w:pPr>
        <w:spacing w:before="100" w:beforeAutospacing="1" w:after="100" w:afterAutospacing="1" w:line="360" w:lineRule="auto"/>
        <w:contextualSpacing/>
        <w:jc w:val="both"/>
        <w:rPr>
          <w:rFonts w:ascii="Arial" w:hAnsi="Arial" w:cs="Arial"/>
        </w:rPr>
      </w:pPr>
    </w:p>
    <w:p w:rsidR="00C60C1A" w:rsidRPr="003B1FCE" w:rsidRDefault="00D0295D" w:rsidP="00C60C1A">
      <w:pPr>
        <w:spacing w:before="100" w:beforeAutospacing="1" w:after="100" w:afterAutospacing="1" w:line="360" w:lineRule="auto"/>
        <w:contextualSpacing/>
        <w:jc w:val="both"/>
        <w:rPr>
          <w:rFonts w:ascii="Arial" w:hAnsi="Arial" w:cs="Arial"/>
        </w:rPr>
      </w:pPr>
      <w:r w:rsidRPr="003B1FCE">
        <w:rPr>
          <w:rFonts w:ascii="Arial" w:hAnsi="Arial" w:cs="Arial"/>
        </w:rPr>
        <w:t xml:space="preserve">Tres Órganos Autónomos atendieron a cabalidad las recomendaciones y observaciones, alcanzando el cumplimiento total de las obligaciones de transparencia. Los tres Órganos Autónomos restantes atendieron las recomendaciones; no obstante, persisten áreas de oportunidad por lo que dos Órganos se encuentran en un cumplimiento parcial con un IGOT superior a 90% y uno con un IGOT entre 60% y 70%.  </w:t>
      </w:r>
    </w:p>
    <w:p w:rsidR="00C60C1A" w:rsidRPr="003B1FCE" w:rsidRDefault="00C60C1A" w:rsidP="00C60C1A">
      <w:pPr>
        <w:spacing w:before="100" w:beforeAutospacing="1" w:after="100" w:afterAutospacing="1" w:line="360" w:lineRule="auto"/>
        <w:contextualSpacing/>
        <w:jc w:val="both"/>
        <w:rPr>
          <w:rFonts w:ascii="Arial" w:hAnsi="Arial" w:cs="Arial"/>
        </w:rPr>
      </w:pPr>
    </w:p>
    <w:p w:rsidR="00C60C1A" w:rsidRPr="003B1FCE" w:rsidRDefault="00C60C1A" w:rsidP="00C60C1A">
      <w:pPr>
        <w:spacing w:before="100" w:beforeAutospacing="1" w:after="100" w:afterAutospacing="1" w:line="360" w:lineRule="auto"/>
        <w:contextualSpacing/>
        <w:jc w:val="both"/>
        <w:rPr>
          <w:rFonts w:ascii="Arial" w:hAnsi="Arial" w:cs="Arial"/>
        </w:rPr>
      </w:pPr>
      <w:r w:rsidRPr="003B1FCE">
        <w:rPr>
          <w:rFonts w:ascii="Arial" w:hAnsi="Arial" w:cs="Arial"/>
        </w:rPr>
        <w:t xml:space="preserve">Con relación a la Primera Evaluación Vinculante 2019, este ámbito tuvo un </w:t>
      </w:r>
      <w:r w:rsidR="00D0295D" w:rsidRPr="003B1FCE">
        <w:rPr>
          <w:rFonts w:ascii="Arial" w:hAnsi="Arial" w:cs="Arial"/>
        </w:rPr>
        <w:t>incremento</w:t>
      </w:r>
      <w:r w:rsidRPr="003B1FCE">
        <w:rPr>
          <w:rFonts w:ascii="Arial" w:hAnsi="Arial" w:cs="Arial"/>
        </w:rPr>
        <w:t xml:space="preserve">, puesto que pasó de tener un IGOT de </w:t>
      </w:r>
      <w:r w:rsidR="00D0295D" w:rsidRPr="003B1FCE">
        <w:rPr>
          <w:rFonts w:ascii="Arial" w:hAnsi="Arial" w:cs="Arial"/>
        </w:rPr>
        <w:t>86.15</w:t>
      </w:r>
      <w:r w:rsidRPr="003B1FCE">
        <w:rPr>
          <w:rFonts w:ascii="Arial" w:hAnsi="Arial" w:cs="Arial"/>
        </w:rPr>
        <w:t xml:space="preserve">% a uno de </w:t>
      </w:r>
      <w:r w:rsidR="00D0295D" w:rsidRPr="003B1FCE">
        <w:rPr>
          <w:rFonts w:ascii="Arial" w:hAnsi="Arial" w:cs="Arial"/>
        </w:rPr>
        <w:t>94.16</w:t>
      </w:r>
      <w:r w:rsidRPr="003B1FCE">
        <w:rPr>
          <w:rFonts w:ascii="Arial" w:hAnsi="Arial" w:cs="Arial"/>
        </w:rPr>
        <w:t xml:space="preserve">%; por lo que se encuentra en un </w:t>
      </w:r>
      <w:r w:rsidR="00D0295D" w:rsidRPr="003B1FCE">
        <w:rPr>
          <w:rFonts w:ascii="Arial" w:hAnsi="Arial" w:cs="Arial"/>
        </w:rPr>
        <w:t>cumplimiento</w:t>
      </w:r>
      <w:r w:rsidRPr="003B1FCE">
        <w:rPr>
          <w:rFonts w:ascii="Arial" w:hAnsi="Arial" w:cs="Arial"/>
        </w:rPr>
        <w:t xml:space="preserve"> parcial de las obligaciones de transparencia de la Ley de Transparencia Local. Este ámbito tuvo un </w:t>
      </w:r>
      <w:r w:rsidR="00D0295D" w:rsidRPr="003B1FCE">
        <w:rPr>
          <w:rFonts w:ascii="Arial" w:hAnsi="Arial" w:cs="Arial"/>
        </w:rPr>
        <w:t>incremento</w:t>
      </w:r>
      <w:r w:rsidRPr="003B1FCE">
        <w:rPr>
          <w:rFonts w:ascii="Arial" w:hAnsi="Arial" w:cs="Arial"/>
        </w:rPr>
        <w:t xml:space="preserve"> de </w:t>
      </w:r>
      <w:r w:rsidR="00D0295D" w:rsidRPr="003B1FCE">
        <w:rPr>
          <w:rFonts w:ascii="Arial" w:hAnsi="Arial" w:cs="Arial"/>
        </w:rPr>
        <w:t>8.01</w:t>
      </w:r>
      <w:r w:rsidRPr="003B1FCE">
        <w:rPr>
          <w:rFonts w:ascii="Arial" w:hAnsi="Arial" w:cs="Arial"/>
        </w:rPr>
        <w:t xml:space="preserve">% dentro de su índice. </w:t>
      </w:r>
    </w:p>
    <w:p w:rsidR="00C60C1A" w:rsidRPr="003B1FCE" w:rsidRDefault="00C60C1A" w:rsidP="00C60C1A">
      <w:pPr>
        <w:spacing w:before="100" w:beforeAutospacing="1" w:after="100" w:afterAutospacing="1" w:line="360" w:lineRule="auto"/>
        <w:contextualSpacing/>
        <w:jc w:val="both"/>
        <w:rPr>
          <w:rFonts w:ascii="Arial" w:hAnsi="Arial" w:cs="Arial"/>
        </w:rPr>
      </w:pPr>
    </w:p>
    <w:p w:rsidR="00C60C1A" w:rsidRPr="003B1FCE" w:rsidRDefault="00C60C1A" w:rsidP="00C60C1A">
      <w:pPr>
        <w:spacing w:before="100" w:beforeAutospacing="1" w:after="100" w:afterAutospacing="1" w:line="360" w:lineRule="auto"/>
        <w:contextualSpacing/>
        <w:jc w:val="both"/>
        <w:rPr>
          <w:rFonts w:ascii="Arial" w:hAnsi="Arial" w:cs="Arial"/>
          <w:u w:val="single"/>
        </w:rPr>
      </w:pPr>
      <w:r w:rsidRPr="003B1FCE">
        <w:rPr>
          <w:rFonts w:ascii="Arial" w:hAnsi="Arial" w:cs="Arial"/>
          <w:u w:val="single"/>
        </w:rPr>
        <w:t xml:space="preserve">Cumplimiento diferenciado por artículos </w:t>
      </w:r>
    </w:p>
    <w:p w:rsidR="00C60C1A" w:rsidRPr="003B1FCE" w:rsidRDefault="00C60C1A" w:rsidP="00C60C1A">
      <w:pPr>
        <w:spacing w:before="100" w:beforeAutospacing="1" w:after="100" w:afterAutospacing="1" w:line="360" w:lineRule="auto"/>
        <w:contextualSpacing/>
        <w:jc w:val="both"/>
        <w:rPr>
          <w:rFonts w:ascii="Arial" w:hAnsi="Arial" w:cs="Arial"/>
          <w:u w:val="single"/>
        </w:rPr>
      </w:pPr>
    </w:p>
    <w:p w:rsidR="00C60C1A" w:rsidRPr="003B1FCE" w:rsidRDefault="00C60C1A" w:rsidP="00C60C1A">
      <w:pPr>
        <w:spacing w:before="100" w:beforeAutospacing="1" w:after="100" w:afterAutospacing="1" w:line="360" w:lineRule="auto"/>
        <w:contextualSpacing/>
        <w:jc w:val="both"/>
        <w:rPr>
          <w:rFonts w:ascii="Arial" w:hAnsi="Arial" w:cs="Arial"/>
        </w:rPr>
      </w:pPr>
      <w:r w:rsidRPr="003B1FCE">
        <w:rPr>
          <w:rFonts w:ascii="Arial" w:hAnsi="Arial" w:cs="Arial"/>
        </w:rPr>
        <w:t>Con relación al tipo de obligaciones de transparencia, este ámbito ha cumplido parcialmente c</w:t>
      </w:r>
      <w:r w:rsidR="00D0295D" w:rsidRPr="003B1FCE">
        <w:rPr>
          <w:rFonts w:ascii="Arial" w:hAnsi="Arial" w:cs="Arial"/>
        </w:rPr>
        <w:t>on sus obligaciones comunes, específicas y disposiciones particulares</w:t>
      </w:r>
      <w:r w:rsidRPr="003B1FCE">
        <w:rPr>
          <w:rFonts w:ascii="Arial" w:hAnsi="Arial" w:cs="Arial"/>
        </w:rPr>
        <w:t xml:space="preserve">, obteniendo un ICP de </w:t>
      </w:r>
      <w:r w:rsidR="00C36EEB" w:rsidRPr="003B1FCE">
        <w:rPr>
          <w:rFonts w:ascii="Arial" w:hAnsi="Arial" w:cs="Arial"/>
        </w:rPr>
        <w:t>95.21</w:t>
      </w:r>
      <w:r w:rsidRPr="003B1FCE">
        <w:rPr>
          <w:rFonts w:ascii="Arial" w:hAnsi="Arial" w:cs="Arial"/>
        </w:rPr>
        <w:t>%</w:t>
      </w:r>
      <w:r w:rsidR="00C36EEB" w:rsidRPr="003B1FCE">
        <w:rPr>
          <w:rFonts w:ascii="Arial" w:hAnsi="Arial" w:cs="Arial"/>
        </w:rPr>
        <w:t>, 85.90 y 98.68</w:t>
      </w:r>
      <w:r w:rsidRPr="003B1FCE">
        <w:rPr>
          <w:rFonts w:ascii="Arial" w:hAnsi="Arial" w:cs="Arial"/>
        </w:rPr>
        <w:t xml:space="preserve">%, respectivamente. </w:t>
      </w:r>
    </w:p>
    <w:p w:rsidR="00C60C1A" w:rsidRPr="003B1FCE" w:rsidRDefault="00C60C1A" w:rsidP="00C60C1A">
      <w:pPr>
        <w:spacing w:before="100" w:beforeAutospacing="1" w:after="100" w:afterAutospacing="1" w:line="360" w:lineRule="auto"/>
        <w:contextualSpacing/>
        <w:jc w:val="both"/>
        <w:rPr>
          <w:rFonts w:ascii="Arial" w:hAnsi="Arial" w:cs="Arial"/>
        </w:rPr>
      </w:pPr>
    </w:p>
    <w:p w:rsidR="00C60C1A" w:rsidRPr="003B1FCE" w:rsidRDefault="00C60C1A" w:rsidP="00C60C1A">
      <w:pPr>
        <w:spacing w:before="100" w:beforeAutospacing="1" w:after="100" w:afterAutospacing="1" w:line="360" w:lineRule="auto"/>
        <w:contextualSpacing/>
        <w:jc w:val="both"/>
        <w:rPr>
          <w:rFonts w:ascii="Arial" w:hAnsi="Arial" w:cs="Arial"/>
        </w:rPr>
      </w:pPr>
      <w:r w:rsidRPr="003B1FCE">
        <w:rPr>
          <w:rFonts w:ascii="Arial" w:hAnsi="Arial" w:cs="Arial"/>
        </w:rPr>
        <w:t xml:space="preserve">En esta misma línea, por artículo obtuvieron los siguientes índices con relación a la Primera Evaluación Vinculante: </w:t>
      </w:r>
    </w:p>
    <w:tbl>
      <w:tblPr>
        <w:tblStyle w:val="Tablaconcuadrcula"/>
        <w:tblW w:w="0" w:type="auto"/>
        <w:tblLook w:val="04A0" w:firstRow="1" w:lastRow="0" w:firstColumn="1" w:lastColumn="0" w:noHBand="0" w:noVBand="1"/>
      </w:tblPr>
      <w:tblGrid>
        <w:gridCol w:w="3659"/>
        <w:gridCol w:w="2148"/>
        <w:gridCol w:w="2092"/>
        <w:gridCol w:w="12"/>
        <w:gridCol w:w="908"/>
      </w:tblGrid>
      <w:tr w:rsidR="00C60C1A" w:rsidRPr="003B1FCE" w:rsidTr="00B018FB">
        <w:tc>
          <w:tcPr>
            <w:tcW w:w="3659" w:type="dxa"/>
            <w:shd w:val="clear" w:color="auto" w:fill="ED7D31" w:themeFill="accent2"/>
          </w:tcPr>
          <w:p w:rsidR="00C60C1A" w:rsidRPr="003B1FCE" w:rsidRDefault="00C60C1A" w:rsidP="00C60C1A">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Artículo</w:t>
            </w:r>
          </w:p>
        </w:tc>
        <w:tc>
          <w:tcPr>
            <w:tcW w:w="2148" w:type="dxa"/>
            <w:shd w:val="clear" w:color="auto" w:fill="ED7D31" w:themeFill="accent2"/>
          </w:tcPr>
          <w:p w:rsidR="00C60C1A" w:rsidRPr="003B1FCE" w:rsidRDefault="00C60C1A" w:rsidP="00C60C1A">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ICP – 1ª Evaluación</w:t>
            </w:r>
          </w:p>
        </w:tc>
        <w:tc>
          <w:tcPr>
            <w:tcW w:w="2092" w:type="dxa"/>
            <w:shd w:val="clear" w:color="auto" w:fill="ED7D31" w:themeFill="accent2"/>
          </w:tcPr>
          <w:p w:rsidR="00C60C1A" w:rsidRPr="003B1FCE" w:rsidRDefault="00C60C1A" w:rsidP="00C60C1A">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ICP – 3ª Evaluación</w:t>
            </w:r>
          </w:p>
        </w:tc>
        <w:tc>
          <w:tcPr>
            <w:tcW w:w="920" w:type="dxa"/>
            <w:gridSpan w:val="2"/>
            <w:shd w:val="clear" w:color="auto" w:fill="ED7D31" w:themeFill="accent2"/>
          </w:tcPr>
          <w:p w:rsidR="00C60C1A" w:rsidRPr="003B1FCE" w:rsidRDefault="00C60C1A" w:rsidP="00C60C1A">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Mejoría</w:t>
            </w:r>
          </w:p>
        </w:tc>
      </w:tr>
      <w:tr w:rsidR="00AD68DB" w:rsidRPr="003B1FCE" w:rsidTr="00AD68DB">
        <w:tc>
          <w:tcPr>
            <w:tcW w:w="3659" w:type="dxa"/>
          </w:tcPr>
          <w:p w:rsidR="00AD68DB" w:rsidRPr="003B1FCE" w:rsidRDefault="00AD68DB" w:rsidP="00AD68DB">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121 – Obligaciones Comunes</w:t>
            </w:r>
          </w:p>
        </w:tc>
        <w:tc>
          <w:tcPr>
            <w:tcW w:w="2148" w:type="dxa"/>
            <w:vAlign w:val="center"/>
          </w:tcPr>
          <w:p w:rsidR="00AD68DB" w:rsidRPr="003B1FCE" w:rsidRDefault="00AD68DB" w:rsidP="00AD68DB">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86.04</w:t>
            </w:r>
          </w:p>
        </w:tc>
        <w:tc>
          <w:tcPr>
            <w:tcW w:w="2104" w:type="dxa"/>
            <w:gridSpan w:val="2"/>
            <w:vAlign w:val="center"/>
          </w:tcPr>
          <w:p w:rsidR="00AD68DB" w:rsidRPr="003B1FCE" w:rsidRDefault="00AD68DB" w:rsidP="00AD68DB">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95.21</w:t>
            </w:r>
          </w:p>
        </w:tc>
        <w:tc>
          <w:tcPr>
            <w:tcW w:w="908" w:type="dxa"/>
            <w:vAlign w:val="center"/>
          </w:tcPr>
          <w:p w:rsidR="00AD68DB" w:rsidRPr="003B1FCE" w:rsidRDefault="00AD68DB" w:rsidP="00AD68DB">
            <w:pPr>
              <w:jc w:val="center"/>
              <w:rPr>
                <w:rFonts w:ascii="Arial" w:hAnsi="Arial" w:cs="Arial"/>
                <w:color w:val="000000"/>
                <w:sz w:val="20"/>
                <w:szCs w:val="20"/>
              </w:rPr>
            </w:pPr>
            <w:r w:rsidRPr="003B1FCE">
              <w:rPr>
                <w:rFonts w:ascii="Arial" w:hAnsi="Arial" w:cs="Arial"/>
                <w:color w:val="000000"/>
                <w:sz w:val="20"/>
                <w:szCs w:val="20"/>
              </w:rPr>
              <w:t>9.17</w:t>
            </w:r>
          </w:p>
        </w:tc>
      </w:tr>
      <w:tr w:rsidR="00AD68DB" w:rsidRPr="003B1FCE" w:rsidTr="00AD68DB">
        <w:tc>
          <w:tcPr>
            <w:tcW w:w="3659" w:type="dxa"/>
          </w:tcPr>
          <w:p w:rsidR="00AD68DB" w:rsidRPr="003B1FCE" w:rsidRDefault="00AD68DB" w:rsidP="00AD68DB">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128 – Obligaciones Específicas de las autoridades electorales</w:t>
            </w:r>
          </w:p>
        </w:tc>
        <w:tc>
          <w:tcPr>
            <w:tcW w:w="2148" w:type="dxa"/>
            <w:vAlign w:val="center"/>
          </w:tcPr>
          <w:p w:rsidR="00AD68DB" w:rsidRPr="003B1FCE" w:rsidRDefault="00AD68DB" w:rsidP="00AD68DB">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99.04</w:t>
            </w:r>
          </w:p>
        </w:tc>
        <w:tc>
          <w:tcPr>
            <w:tcW w:w="2104" w:type="dxa"/>
            <w:gridSpan w:val="2"/>
            <w:vAlign w:val="center"/>
          </w:tcPr>
          <w:p w:rsidR="00AD68DB" w:rsidRPr="003B1FCE" w:rsidRDefault="00AD68DB" w:rsidP="00AD68DB">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100</w:t>
            </w:r>
          </w:p>
        </w:tc>
        <w:tc>
          <w:tcPr>
            <w:tcW w:w="908" w:type="dxa"/>
            <w:vAlign w:val="center"/>
          </w:tcPr>
          <w:p w:rsidR="00AD68DB" w:rsidRPr="003B1FCE" w:rsidRDefault="00AD68DB" w:rsidP="00AD68DB">
            <w:pPr>
              <w:jc w:val="center"/>
              <w:rPr>
                <w:rFonts w:ascii="Arial" w:hAnsi="Arial" w:cs="Arial"/>
                <w:color w:val="000000"/>
                <w:sz w:val="20"/>
                <w:szCs w:val="20"/>
              </w:rPr>
            </w:pPr>
            <w:r w:rsidRPr="003B1FCE">
              <w:rPr>
                <w:rFonts w:ascii="Arial" w:hAnsi="Arial" w:cs="Arial"/>
                <w:color w:val="000000"/>
                <w:sz w:val="20"/>
                <w:szCs w:val="20"/>
              </w:rPr>
              <w:t>0.96</w:t>
            </w:r>
          </w:p>
        </w:tc>
      </w:tr>
      <w:tr w:rsidR="00AD68DB" w:rsidRPr="003B1FCE" w:rsidTr="00AD68DB">
        <w:tc>
          <w:tcPr>
            <w:tcW w:w="3659" w:type="dxa"/>
          </w:tcPr>
          <w:p w:rsidR="00AD68DB" w:rsidRPr="003B1FCE" w:rsidRDefault="00AD68DB" w:rsidP="00AD68DB">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132 – Obligaciones Específicas de la Comisión de Derechos Humanos</w:t>
            </w:r>
          </w:p>
        </w:tc>
        <w:tc>
          <w:tcPr>
            <w:tcW w:w="2148" w:type="dxa"/>
            <w:vAlign w:val="center"/>
          </w:tcPr>
          <w:p w:rsidR="00AD68DB" w:rsidRPr="003B1FCE" w:rsidRDefault="00AD68DB" w:rsidP="00AD68DB">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99.41</w:t>
            </w:r>
          </w:p>
        </w:tc>
        <w:tc>
          <w:tcPr>
            <w:tcW w:w="2104" w:type="dxa"/>
            <w:gridSpan w:val="2"/>
            <w:vAlign w:val="center"/>
          </w:tcPr>
          <w:p w:rsidR="00AD68DB" w:rsidRPr="003B1FCE" w:rsidRDefault="00AD68DB" w:rsidP="00AD68DB">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100</w:t>
            </w:r>
          </w:p>
        </w:tc>
        <w:tc>
          <w:tcPr>
            <w:tcW w:w="908" w:type="dxa"/>
            <w:vAlign w:val="center"/>
          </w:tcPr>
          <w:p w:rsidR="00AD68DB" w:rsidRPr="003B1FCE" w:rsidRDefault="00AD68DB" w:rsidP="00AD68DB">
            <w:pPr>
              <w:jc w:val="center"/>
              <w:rPr>
                <w:rFonts w:ascii="Arial" w:hAnsi="Arial" w:cs="Arial"/>
                <w:color w:val="000000"/>
                <w:sz w:val="20"/>
                <w:szCs w:val="20"/>
              </w:rPr>
            </w:pPr>
            <w:r w:rsidRPr="003B1FCE">
              <w:rPr>
                <w:rFonts w:ascii="Arial" w:hAnsi="Arial" w:cs="Arial"/>
                <w:color w:val="000000"/>
                <w:sz w:val="20"/>
                <w:szCs w:val="20"/>
              </w:rPr>
              <w:t>0.59</w:t>
            </w:r>
          </w:p>
        </w:tc>
      </w:tr>
      <w:tr w:rsidR="00AD68DB" w:rsidRPr="003B1FCE" w:rsidTr="00AD68DB">
        <w:tc>
          <w:tcPr>
            <w:tcW w:w="3659" w:type="dxa"/>
          </w:tcPr>
          <w:p w:rsidR="00AD68DB" w:rsidRPr="003B1FCE" w:rsidRDefault="00AD68DB" w:rsidP="00AD68DB">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133 – Obligaciones Específicas de Instituto de Transparencia</w:t>
            </w:r>
          </w:p>
        </w:tc>
        <w:tc>
          <w:tcPr>
            <w:tcW w:w="2148" w:type="dxa"/>
            <w:vAlign w:val="center"/>
          </w:tcPr>
          <w:p w:rsidR="00AD68DB" w:rsidRPr="003B1FCE" w:rsidRDefault="00AD68DB" w:rsidP="00AD68DB">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83.26</w:t>
            </w:r>
          </w:p>
        </w:tc>
        <w:tc>
          <w:tcPr>
            <w:tcW w:w="2104" w:type="dxa"/>
            <w:gridSpan w:val="2"/>
            <w:vAlign w:val="center"/>
          </w:tcPr>
          <w:p w:rsidR="00AD68DB" w:rsidRPr="003B1FCE" w:rsidRDefault="00AD68DB" w:rsidP="00AD68DB">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86.84</w:t>
            </w:r>
          </w:p>
        </w:tc>
        <w:tc>
          <w:tcPr>
            <w:tcW w:w="908" w:type="dxa"/>
            <w:vAlign w:val="center"/>
          </w:tcPr>
          <w:p w:rsidR="00AD68DB" w:rsidRPr="003B1FCE" w:rsidRDefault="00AD68DB" w:rsidP="00AD68DB">
            <w:pPr>
              <w:jc w:val="center"/>
              <w:rPr>
                <w:rFonts w:ascii="Arial" w:hAnsi="Arial" w:cs="Arial"/>
                <w:color w:val="000000"/>
                <w:sz w:val="20"/>
                <w:szCs w:val="20"/>
              </w:rPr>
            </w:pPr>
            <w:r w:rsidRPr="003B1FCE">
              <w:rPr>
                <w:rFonts w:ascii="Arial" w:hAnsi="Arial" w:cs="Arial"/>
                <w:color w:val="000000"/>
                <w:sz w:val="20"/>
                <w:szCs w:val="20"/>
              </w:rPr>
              <w:t>3.58</w:t>
            </w:r>
          </w:p>
        </w:tc>
      </w:tr>
      <w:tr w:rsidR="00AD68DB" w:rsidRPr="003B1FCE" w:rsidTr="00AD68DB">
        <w:tc>
          <w:tcPr>
            <w:tcW w:w="3659" w:type="dxa"/>
          </w:tcPr>
          <w:p w:rsidR="00AD68DB" w:rsidRPr="003B1FCE" w:rsidRDefault="00AD68DB" w:rsidP="00AD68DB">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 xml:space="preserve">134 – Obligaciones Específicas la Universidad Autónoma </w:t>
            </w:r>
          </w:p>
        </w:tc>
        <w:tc>
          <w:tcPr>
            <w:tcW w:w="2148" w:type="dxa"/>
            <w:vAlign w:val="center"/>
          </w:tcPr>
          <w:p w:rsidR="00AD68DB" w:rsidRPr="003B1FCE" w:rsidRDefault="00AD68DB" w:rsidP="00AD68DB">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31.04</w:t>
            </w:r>
          </w:p>
        </w:tc>
        <w:tc>
          <w:tcPr>
            <w:tcW w:w="2104" w:type="dxa"/>
            <w:gridSpan w:val="2"/>
            <w:vAlign w:val="center"/>
          </w:tcPr>
          <w:p w:rsidR="00AD68DB" w:rsidRPr="003B1FCE" w:rsidRDefault="00AD68DB" w:rsidP="00AD68DB">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42.69</w:t>
            </w:r>
          </w:p>
        </w:tc>
        <w:tc>
          <w:tcPr>
            <w:tcW w:w="908" w:type="dxa"/>
            <w:vAlign w:val="center"/>
          </w:tcPr>
          <w:p w:rsidR="00AD68DB" w:rsidRPr="003B1FCE" w:rsidRDefault="00AD68DB" w:rsidP="00AD68DB">
            <w:pPr>
              <w:jc w:val="center"/>
              <w:rPr>
                <w:rFonts w:ascii="Arial" w:hAnsi="Arial" w:cs="Arial"/>
                <w:color w:val="000000"/>
                <w:sz w:val="20"/>
                <w:szCs w:val="20"/>
              </w:rPr>
            </w:pPr>
            <w:r w:rsidRPr="003B1FCE">
              <w:rPr>
                <w:rFonts w:ascii="Arial" w:hAnsi="Arial" w:cs="Arial"/>
                <w:color w:val="000000"/>
                <w:sz w:val="20"/>
                <w:szCs w:val="20"/>
              </w:rPr>
              <w:t>11.65</w:t>
            </w:r>
          </w:p>
        </w:tc>
      </w:tr>
      <w:tr w:rsidR="00AD68DB" w:rsidRPr="003B1FCE" w:rsidTr="00AD68DB">
        <w:tc>
          <w:tcPr>
            <w:tcW w:w="3659" w:type="dxa"/>
          </w:tcPr>
          <w:p w:rsidR="00AD68DB" w:rsidRPr="003B1FCE" w:rsidRDefault="00AD68DB" w:rsidP="00AD68DB">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 xml:space="preserve">137 – Obligaciones Específicas de la Junta Local de Conciliación y Arbitraje </w:t>
            </w:r>
          </w:p>
        </w:tc>
        <w:tc>
          <w:tcPr>
            <w:tcW w:w="2148" w:type="dxa"/>
            <w:vAlign w:val="center"/>
          </w:tcPr>
          <w:p w:rsidR="00AD68DB" w:rsidRPr="003B1FCE" w:rsidRDefault="00AD68DB" w:rsidP="00AD68DB">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48</w:t>
            </w:r>
          </w:p>
        </w:tc>
        <w:tc>
          <w:tcPr>
            <w:tcW w:w="2104" w:type="dxa"/>
            <w:gridSpan w:val="2"/>
            <w:vAlign w:val="center"/>
          </w:tcPr>
          <w:p w:rsidR="00AD68DB" w:rsidRPr="003B1FCE" w:rsidRDefault="00AD68DB" w:rsidP="00AD68DB">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100</w:t>
            </w:r>
          </w:p>
        </w:tc>
        <w:tc>
          <w:tcPr>
            <w:tcW w:w="908" w:type="dxa"/>
            <w:vAlign w:val="center"/>
          </w:tcPr>
          <w:p w:rsidR="00AD68DB" w:rsidRPr="003B1FCE" w:rsidRDefault="00AD68DB" w:rsidP="00AD68DB">
            <w:pPr>
              <w:jc w:val="center"/>
              <w:rPr>
                <w:rFonts w:ascii="Arial" w:hAnsi="Arial" w:cs="Arial"/>
                <w:color w:val="000000"/>
                <w:sz w:val="20"/>
                <w:szCs w:val="20"/>
              </w:rPr>
            </w:pPr>
            <w:r w:rsidRPr="003B1FCE">
              <w:rPr>
                <w:rFonts w:ascii="Arial" w:hAnsi="Arial" w:cs="Arial"/>
                <w:color w:val="000000"/>
                <w:sz w:val="20"/>
                <w:szCs w:val="20"/>
              </w:rPr>
              <w:t>52</w:t>
            </w:r>
          </w:p>
        </w:tc>
      </w:tr>
      <w:tr w:rsidR="00AD68DB" w:rsidRPr="003B1FCE" w:rsidTr="00AD68DB">
        <w:tc>
          <w:tcPr>
            <w:tcW w:w="3659" w:type="dxa"/>
          </w:tcPr>
          <w:p w:rsidR="00AD68DB" w:rsidRPr="003B1FCE" w:rsidRDefault="00AD68DB" w:rsidP="00AD68DB">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145 – Portal de Transparencia</w:t>
            </w:r>
          </w:p>
        </w:tc>
        <w:tc>
          <w:tcPr>
            <w:tcW w:w="2148" w:type="dxa"/>
            <w:vAlign w:val="center"/>
          </w:tcPr>
          <w:p w:rsidR="00AD68DB" w:rsidRPr="003B1FCE" w:rsidRDefault="00AD68DB" w:rsidP="00AD68DB">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100</w:t>
            </w:r>
          </w:p>
        </w:tc>
        <w:tc>
          <w:tcPr>
            <w:tcW w:w="2104" w:type="dxa"/>
            <w:gridSpan w:val="2"/>
            <w:vAlign w:val="center"/>
          </w:tcPr>
          <w:p w:rsidR="00AD68DB" w:rsidRPr="003B1FCE" w:rsidRDefault="00AD68DB" w:rsidP="00AD68DB">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100</w:t>
            </w:r>
          </w:p>
        </w:tc>
        <w:tc>
          <w:tcPr>
            <w:tcW w:w="908" w:type="dxa"/>
            <w:vAlign w:val="center"/>
          </w:tcPr>
          <w:p w:rsidR="00AD68DB" w:rsidRPr="003B1FCE" w:rsidRDefault="00AD68DB" w:rsidP="00AD68DB">
            <w:pPr>
              <w:jc w:val="center"/>
              <w:rPr>
                <w:rFonts w:ascii="Arial" w:hAnsi="Arial" w:cs="Arial"/>
                <w:color w:val="000000"/>
                <w:sz w:val="20"/>
                <w:szCs w:val="20"/>
              </w:rPr>
            </w:pPr>
            <w:r w:rsidRPr="003B1FCE">
              <w:rPr>
                <w:rFonts w:ascii="Arial" w:hAnsi="Arial" w:cs="Arial"/>
                <w:color w:val="000000"/>
                <w:sz w:val="20"/>
                <w:szCs w:val="20"/>
              </w:rPr>
              <w:t>0</w:t>
            </w:r>
          </w:p>
        </w:tc>
      </w:tr>
      <w:tr w:rsidR="00AD68DB" w:rsidRPr="003B1FCE" w:rsidTr="00AD68DB">
        <w:tc>
          <w:tcPr>
            <w:tcW w:w="3659" w:type="dxa"/>
          </w:tcPr>
          <w:p w:rsidR="00AD68DB" w:rsidRPr="003B1FCE" w:rsidRDefault="00AD68DB" w:rsidP="00AD68DB">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146 – Calendario de actualización</w:t>
            </w:r>
          </w:p>
        </w:tc>
        <w:tc>
          <w:tcPr>
            <w:tcW w:w="2148" w:type="dxa"/>
            <w:vAlign w:val="center"/>
          </w:tcPr>
          <w:p w:rsidR="00AD68DB" w:rsidRPr="003B1FCE" w:rsidRDefault="00AD68DB" w:rsidP="00AD68DB">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88.75</w:t>
            </w:r>
          </w:p>
        </w:tc>
        <w:tc>
          <w:tcPr>
            <w:tcW w:w="2104" w:type="dxa"/>
            <w:gridSpan w:val="2"/>
            <w:vAlign w:val="center"/>
          </w:tcPr>
          <w:p w:rsidR="00AD68DB" w:rsidRPr="003B1FCE" w:rsidRDefault="00AD68DB" w:rsidP="00AD68DB">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96.25</w:t>
            </w:r>
          </w:p>
        </w:tc>
        <w:tc>
          <w:tcPr>
            <w:tcW w:w="908" w:type="dxa"/>
            <w:vAlign w:val="center"/>
          </w:tcPr>
          <w:p w:rsidR="00AD68DB" w:rsidRPr="003B1FCE" w:rsidRDefault="00AD68DB" w:rsidP="00AD68DB">
            <w:pPr>
              <w:jc w:val="center"/>
              <w:rPr>
                <w:rFonts w:ascii="Arial" w:hAnsi="Arial" w:cs="Arial"/>
                <w:color w:val="000000"/>
                <w:sz w:val="20"/>
                <w:szCs w:val="20"/>
              </w:rPr>
            </w:pPr>
            <w:r w:rsidRPr="003B1FCE">
              <w:rPr>
                <w:rFonts w:ascii="Arial" w:hAnsi="Arial" w:cs="Arial"/>
                <w:color w:val="000000"/>
                <w:sz w:val="20"/>
                <w:szCs w:val="20"/>
              </w:rPr>
              <w:t>7.5</w:t>
            </w:r>
          </w:p>
        </w:tc>
      </w:tr>
      <w:tr w:rsidR="00AD68DB" w:rsidRPr="003B1FCE" w:rsidTr="00AD68DB">
        <w:tc>
          <w:tcPr>
            <w:tcW w:w="3659" w:type="dxa"/>
          </w:tcPr>
          <w:p w:rsidR="00AD68DB" w:rsidRPr="003B1FCE" w:rsidRDefault="00AD68DB" w:rsidP="00AD68DB">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 xml:space="preserve">147 – Informes respecto de recursos otorgados por el sujeto obligado a terceros </w:t>
            </w:r>
          </w:p>
        </w:tc>
        <w:tc>
          <w:tcPr>
            <w:tcW w:w="2148" w:type="dxa"/>
            <w:vAlign w:val="center"/>
          </w:tcPr>
          <w:p w:rsidR="00AD68DB" w:rsidRPr="003B1FCE" w:rsidRDefault="00AD68DB" w:rsidP="00AD68DB">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88.88</w:t>
            </w:r>
          </w:p>
        </w:tc>
        <w:tc>
          <w:tcPr>
            <w:tcW w:w="2104" w:type="dxa"/>
            <w:gridSpan w:val="2"/>
            <w:vAlign w:val="center"/>
          </w:tcPr>
          <w:p w:rsidR="00AD68DB" w:rsidRPr="003B1FCE" w:rsidRDefault="00AD68DB" w:rsidP="00AD68DB">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99.79</w:t>
            </w:r>
          </w:p>
        </w:tc>
        <w:tc>
          <w:tcPr>
            <w:tcW w:w="908" w:type="dxa"/>
            <w:vAlign w:val="center"/>
          </w:tcPr>
          <w:p w:rsidR="00AD68DB" w:rsidRPr="003B1FCE" w:rsidRDefault="00AD68DB" w:rsidP="00AD68DB">
            <w:pPr>
              <w:jc w:val="center"/>
              <w:rPr>
                <w:rFonts w:ascii="Arial" w:hAnsi="Arial" w:cs="Arial"/>
                <w:color w:val="000000"/>
                <w:sz w:val="20"/>
                <w:szCs w:val="20"/>
              </w:rPr>
            </w:pPr>
            <w:r w:rsidRPr="003B1FCE">
              <w:rPr>
                <w:rFonts w:ascii="Arial" w:hAnsi="Arial" w:cs="Arial"/>
                <w:color w:val="000000"/>
                <w:sz w:val="20"/>
                <w:szCs w:val="20"/>
              </w:rPr>
              <w:t>10.91</w:t>
            </w:r>
          </w:p>
        </w:tc>
      </w:tr>
    </w:tbl>
    <w:p w:rsidR="00C60C1A" w:rsidRPr="003B1FCE" w:rsidRDefault="00C60C1A" w:rsidP="00C60C1A">
      <w:pPr>
        <w:spacing w:before="100" w:beforeAutospacing="1" w:after="100" w:afterAutospacing="1" w:line="360" w:lineRule="auto"/>
        <w:contextualSpacing/>
        <w:jc w:val="both"/>
        <w:rPr>
          <w:rFonts w:ascii="Arial" w:hAnsi="Arial" w:cs="Arial"/>
        </w:rPr>
      </w:pPr>
    </w:p>
    <w:p w:rsidR="00AD68DB" w:rsidRPr="003B1FCE" w:rsidRDefault="00AD68DB" w:rsidP="00C60C1A">
      <w:pPr>
        <w:spacing w:before="100" w:beforeAutospacing="1" w:after="100" w:afterAutospacing="1" w:line="360" w:lineRule="auto"/>
        <w:contextualSpacing/>
        <w:jc w:val="both"/>
        <w:rPr>
          <w:rFonts w:ascii="Arial" w:hAnsi="Arial" w:cs="Arial"/>
        </w:rPr>
      </w:pPr>
      <w:r w:rsidRPr="003B1FCE">
        <w:rPr>
          <w:rFonts w:ascii="Arial" w:hAnsi="Arial" w:cs="Arial"/>
        </w:rPr>
        <w:t xml:space="preserve">Del comparativo anteriormente plasmado, se puede apreciar que este ámbito tuvo un incremento de su índice en todas las obligaciones que le son aplicables. Los Órganos Autónomos mantuvieron el cumplimiento total en la obligación de contar con un portal de transparencia y, en especifico, las autoridades electorales, la Comisión de Derechos Humanos y la Junta Local de Conciliación y Arbitraje alcanzaron el cumplimiento total en sus obligaciones de transparencia específicas. </w:t>
      </w:r>
    </w:p>
    <w:p w:rsidR="00AD68DB" w:rsidRPr="003B1FCE" w:rsidRDefault="00AD68DB" w:rsidP="00C60C1A">
      <w:pPr>
        <w:spacing w:before="100" w:beforeAutospacing="1" w:after="100" w:afterAutospacing="1" w:line="360" w:lineRule="auto"/>
        <w:contextualSpacing/>
        <w:jc w:val="both"/>
        <w:rPr>
          <w:rFonts w:ascii="Arial" w:hAnsi="Arial" w:cs="Arial"/>
        </w:rPr>
      </w:pPr>
    </w:p>
    <w:p w:rsidR="00AD68DB" w:rsidRPr="003B1FCE" w:rsidRDefault="00AD68DB" w:rsidP="00C60C1A">
      <w:pPr>
        <w:spacing w:before="100" w:beforeAutospacing="1" w:after="100" w:afterAutospacing="1" w:line="360" w:lineRule="auto"/>
        <w:contextualSpacing/>
        <w:jc w:val="both"/>
        <w:rPr>
          <w:rFonts w:ascii="Arial" w:hAnsi="Arial" w:cs="Arial"/>
        </w:rPr>
      </w:pPr>
      <w:r w:rsidRPr="003B1FCE">
        <w:rPr>
          <w:rFonts w:ascii="Arial" w:hAnsi="Arial" w:cs="Arial"/>
        </w:rPr>
        <w:t>En lo que respecta a las obligaciones comunes y disposiciones particulares, este ámbito logró aumentar su índice, más no atendió la totalidad de las recomendaciones y observaciones.</w:t>
      </w:r>
    </w:p>
    <w:p w:rsidR="00AD68DB" w:rsidRPr="003B1FCE" w:rsidRDefault="00AD68DB" w:rsidP="00C60C1A">
      <w:pPr>
        <w:spacing w:before="100" w:beforeAutospacing="1" w:after="100" w:afterAutospacing="1" w:line="360" w:lineRule="auto"/>
        <w:contextualSpacing/>
        <w:jc w:val="both"/>
        <w:rPr>
          <w:rFonts w:ascii="Arial" w:hAnsi="Arial" w:cs="Arial"/>
        </w:rPr>
      </w:pPr>
    </w:p>
    <w:p w:rsidR="00AD68DB" w:rsidRPr="003B1FCE" w:rsidRDefault="00AD68DB" w:rsidP="00C60C1A">
      <w:pPr>
        <w:spacing w:before="100" w:beforeAutospacing="1" w:after="100" w:afterAutospacing="1" w:line="360" w:lineRule="auto"/>
        <w:contextualSpacing/>
        <w:jc w:val="both"/>
        <w:rPr>
          <w:rFonts w:ascii="Arial" w:hAnsi="Arial" w:cs="Arial"/>
        </w:rPr>
      </w:pPr>
      <w:r w:rsidRPr="003B1FCE">
        <w:rPr>
          <w:rFonts w:ascii="Arial" w:hAnsi="Arial" w:cs="Arial"/>
        </w:rPr>
        <w:t>La Universidad Autónoma de la Ciudad de México solventó algunas de las recomendaciones que le fueron proporcionadas; sin embargo</w:t>
      </w:r>
      <w:r w:rsidR="00920167" w:rsidRPr="003B1FCE">
        <w:rPr>
          <w:rFonts w:ascii="Arial" w:hAnsi="Arial" w:cs="Arial"/>
        </w:rPr>
        <w:t xml:space="preserve">, continúa situada en un incumplimiento parcial. </w:t>
      </w:r>
    </w:p>
    <w:p w:rsidR="00920167" w:rsidRPr="003B1FCE" w:rsidRDefault="00920167" w:rsidP="00C60C1A">
      <w:pPr>
        <w:spacing w:before="100" w:beforeAutospacing="1" w:after="100" w:afterAutospacing="1" w:line="360" w:lineRule="auto"/>
        <w:contextualSpacing/>
        <w:jc w:val="both"/>
        <w:rPr>
          <w:rFonts w:ascii="Arial" w:hAnsi="Arial" w:cs="Arial"/>
        </w:rPr>
      </w:pPr>
    </w:p>
    <w:p w:rsidR="00C60C1A" w:rsidRPr="003B1FCE" w:rsidRDefault="00C60C1A" w:rsidP="00C60C1A">
      <w:pPr>
        <w:spacing w:before="100" w:beforeAutospacing="1" w:after="100" w:afterAutospacing="1" w:line="360" w:lineRule="auto"/>
        <w:contextualSpacing/>
        <w:jc w:val="both"/>
        <w:rPr>
          <w:rFonts w:ascii="Arial" w:hAnsi="Arial" w:cs="Arial"/>
        </w:rPr>
      </w:pPr>
      <w:r w:rsidRPr="003B1FCE">
        <w:rPr>
          <w:rFonts w:ascii="Arial" w:hAnsi="Arial" w:cs="Arial"/>
        </w:rPr>
        <w:t xml:space="preserve">El ámbito de </w:t>
      </w:r>
      <w:r w:rsidR="00920167" w:rsidRPr="003B1FCE">
        <w:rPr>
          <w:rFonts w:ascii="Arial" w:hAnsi="Arial" w:cs="Arial"/>
        </w:rPr>
        <w:t>Órganos Autónomos</w:t>
      </w:r>
      <w:r w:rsidRPr="003B1FCE">
        <w:rPr>
          <w:rFonts w:ascii="Arial" w:hAnsi="Arial" w:cs="Arial"/>
        </w:rPr>
        <w:t xml:space="preserve"> obtuvo un </w:t>
      </w:r>
      <w:r w:rsidR="00920167" w:rsidRPr="003B1FCE">
        <w:rPr>
          <w:rFonts w:ascii="Arial" w:hAnsi="Arial" w:cs="Arial"/>
        </w:rPr>
        <w:t>incremento</w:t>
      </w:r>
      <w:r w:rsidRPr="003B1FCE">
        <w:rPr>
          <w:rFonts w:ascii="Arial" w:hAnsi="Arial" w:cs="Arial"/>
        </w:rPr>
        <w:t xml:space="preserve"> promedio</w:t>
      </w:r>
      <w:r w:rsidR="00920167" w:rsidRPr="003B1FCE">
        <w:rPr>
          <w:rFonts w:ascii="Arial" w:hAnsi="Arial" w:cs="Arial"/>
        </w:rPr>
        <w:t xml:space="preserve"> </w:t>
      </w:r>
      <w:r w:rsidRPr="003B1FCE">
        <w:rPr>
          <w:rFonts w:ascii="Arial" w:hAnsi="Arial" w:cs="Arial"/>
        </w:rPr>
        <w:t>en su índice</w:t>
      </w:r>
      <w:r w:rsidR="00920167" w:rsidRPr="003B1FCE">
        <w:rPr>
          <w:rFonts w:ascii="Arial" w:hAnsi="Arial" w:cs="Arial"/>
        </w:rPr>
        <w:t xml:space="preserve"> por artículo</w:t>
      </w:r>
      <w:r w:rsidRPr="003B1FCE">
        <w:rPr>
          <w:rFonts w:ascii="Arial" w:hAnsi="Arial" w:cs="Arial"/>
        </w:rPr>
        <w:t xml:space="preserve"> de 10.</w:t>
      </w:r>
      <w:r w:rsidR="00920167" w:rsidRPr="003B1FCE">
        <w:rPr>
          <w:rFonts w:ascii="Arial" w:hAnsi="Arial" w:cs="Arial"/>
        </w:rPr>
        <w:t>7</w:t>
      </w:r>
      <w:r w:rsidR="00900995" w:rsidRPr="003B1FCE">
        <w:rPr>
          <w:rFonts w:ascii="Arial" w:hAnsi="Arial" w:cs="Arial"/>
        </w:rPr>
        <w:t>0 puntos.</w:t>
      </w:r>
    </w:p>
    <w:p w:rsidR="00C60C1A" w:rsidRPr="003B1FCE" w:rsidRDefault="00C60C1A" w:rsidP="00C60C1A">
      <w:pPr>
        <w:spacing w:before="100" w:beforeAutospacing="1" w:after="100" w:afterAutospacing="1" w:line="360" w:lineRule="auto"/>
        <w:contextualSpacing/>
        <w:jc w:val="both"/>
        <w:rPr>
          <w:rFonts w:ascii="Arial" w:hAnsi="Arial" w:cs="Arial"/>
        </w:rPr>
      </w:pPr>
    </w:p>
    <w:p w:rsidR="00C60C1A" w:rsidRPr="003B1FCE" w:rsidRDefault="00C60C1A" w:rsidP="00C60C1A">
      <w:pPr>
        <w:spacing w:before="100" w:beforeAutospacing="1" w:after="100" w:afterAutospacing="1" w:line="360" w:lineRule="auto"/>
        <w:contextualSpacing/>
        <w:jc w:val="both"/>
        <w:rPr>
          <w:rFonts w:ascii="Arial" w:hAnsi="Arial" w:cs="Arial"/>
          <w:b/>
          <w:bCs/>
        </w:rPr>
      </w:pPr>
      <w:r w:rsidRPr="003B1FCE">
        <w:rPr>
          <w:rFonts w:ascii="Arial" w:hAnsi="Arial" w:cs="Arial"/>
          <w:b/>
          <w:bCs/>
        </w:rPr>
        <w:t>Comparativo de índices entre la Primera Evaluación Vinculante 2019 y la Tercera Evaluación Vinculante 2019</w:t>
      </w:r>
    </w:p>
    <w:tbl>
      <w:tblPr>
        <w:tblW w:w="9067" w:type="dxa"/>
        <w:tblLayout w:type="fixed"/>
        <w:tblCellMar>
          <w:left w:w="70" w:type="dxa"/>
          <w:right w:w="70" w:type="dxa"/>
        </w:tblCellMar>
        <w:tblLook w:val="04A0" w:firstRow="1" w:lastRow="0" w:firstColumn="1" w:lastColumn="0" w:noHBand="0" w:noVBand="1"/>
      </w:tblPr>
      <w:tblGrid>
        <w:gridCol w:w="463"/>
        <w:gridCol w:w="4352"/>
        <w:gridCol w:w="1559"/>
        <w:gridCol w:w="1703"/>
        <w:gridCol w:w="990"/>
      </w:tblGrid>
      <w:tr w:rsidR="00C60C1A" w:rsidRPr="003B1FCE" w:rsidTr="00B018FB">
        <w:trPr>
          <w:trHeight w:val="860"/>
          <w:tblHeader/>
        </w:trPr>
        <w:tc>
          <w:tcPr>
            <w:tcW w:w="9067" w:type="dxa"/>
            <w:gridSpan w:val="5"/>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C60C1A" w:rsidRPr="003B1FCE" w:rsidRDefault="00C60C1A" w:rsidP="00C60C1A">
            <w:pPr>
              <w:jc w:val="center"/>
              <w:rPr>
                <w:rFonts w:ascii="Arial" w:hAnsi="Arial" w:cs="Arial"/>
                <w:b/>
                <w:bCs/>
                <w:color w:val="000000"/>
                <w:sz w:val="20"/>
                <w:szCs w:val="20"/>
              </w:rPr>
            </w:pPr>
            <w:r w:rsidRPr="003B1FCE">
              <w:rPr>
                <w:rFonts w:ascii="Arial" w:hAnsi="Arial" w:cs="Arial"/>
                <w:b/>
                <w:bCs/>
                <w:color w:val="000000"/>
                <w:sz w:val="20"/>
                <w:szCs w:val="20"/>
              </w:rPr>
              <w:t>Resultados de la Tercera Evaluación Vinculante 2019, respecto de las recomendaciones y observaciones de la Primera Evaluación Vinculante 2019</w:t>
            </w:r>
          </w:p>
        </w:tc>
      </w:tr>
      <w:tr w:rsidR="00C60C1A" w:rsidRPr="003B1FCE" w:rsidTr="00B018FB">
        <w:trPr>
          <w:trHeight w:val="340"/>
          <w:tblHeader/>
        </w:trPr>
        <w:tc>
          <w:tcPr>
            <w:tcW w:w="463" w:type="dxa"/>
            <w:tcBorders>
              <w:top w:val="nil"/>
              <w:left w:val="single" w:sz="4" w:space="0" w:color="auto"/>
              <w:bottom w:val="single" w:sz="4" w:space="0" w:color="auto"/>
              <w:right w:val="single" w:sz="4" w:space="0" w:color="auto"/>
            </w:tcBorders>
            <w:shd w:val="clear" w:color="auto" w:fill="ED7D31" w:themeFill="accent2"/>
            <w:vAlign w:val="center"/>
            <w:hideMark/>
          </w:tcPr>
          <w:p w:rsidR="00C60C1A" w:rsidRPr="003B1FCE" w:rsidRDefault="00C60C1A" w:rsidP="00C60C1A">
            <w:pPr>
              <w:jc w:val="center"/>
              <w:rPr>
                <w:rFonts w:ascii="Arial" w:hAnsi="Arial" w:cs="Arial"/>
                <w:b/>
                <w:bCs/>
                <w:color w:val="000000"/>
                <w:sz w:val="20"/>
                <w:szCs w:val="20"/>
              </w:rPr>
            </w:pPr>
            <w:r w:rsidRPr="003B1FCE">
              <w:rPr>
                <w:rFonts w:ascii="Arial" w:hAnsi="Arial" w:cs="Arial"/>
                <w:b/>
                <w:bCs/>
                <w:color w:val="000000"/>
                <w:sz w:val="20"/>
                <w:szCs w:val="20"/>
              </w:rPr>
              <w:t>No.</w:t>
            </w:r>
          </w:p>
        </w:tc>
        <w:tc>
          <w:tcPr>
            <w:tcW w:w="4352" w:type="dxa"/>
            <w:tcBorders>
              <w:top w:val="nil"/>
              <w:left w:val="nil"/>
              <w:bottom w:val="single" w:sz="4" w:space="0" w:color="auto"/>
              <w:right w:val="single" w:sz="4" w:space="0" w:color="auto"/>
            </w:tcBorders>
            <w:shd w:val="clear" w:color="auto" w:fill="ED7D31" w:themeFill="accent2"/>
            <w:vAlign w:val="center"/>
            <w:hideMark/>
          </w:tcPr>
          <w:p w:rsidR="00C60C1A" w:rsidRPr="003B1FCE" w:rsidRDefault="00C60C1A" w:rsidP="00C60C1A">
            <w:pPr>
              <w:jc w:val="center"/>
              <w:rPr>
                <w:rFonts w:ascii="Arial" w:hAnsi="Arial" w:cs="Arial"/>
                <w:b/>
                <w:bCs/>
                <w:color w:val="000000"/>
                <w:sz w:val="20"/>
                <w:szCs w:val="20"/>
              </w:rPr>
            </w:pPr>
            <w:r w:rsidRPr="003B1FCE">
              <w:rPr>
                <w:rFonts w:ascii="Arial" w:hAnsi="Arial" w:cs="Arial"/>
                <w:b/>
                <w:bCs/>
                <w:color w:val="000000"/>
                <w:sz w:val="20"/>
                <w:szCs w:val="20"/>
              </w:rPr>
              <w:t>Sujeto obligado</w:t>
            </w:r>
          </w:p>
        </w:tc>
        <w:tc>
          <w:tcPr>
            <w:tcW w:w="1559" w:type="dxa"/>
            <w:tcBorders>
              <w:top w:val="nil"/>
              <w:left w:val="nil"/>
              <w:bottom w:val="single" w:sz="4" w:space="0" w:color="auto"/>
              <w:right w:val="single" w:sz="4" w:space="0" w:color="auto"/>
            </w:tcBorders>
            <w:shd w:val="clear" w:color="auto" w:fill="ED7D31" w:themeFill="accent2"/>
            <w:vAlign w:val="center"/>
            <w:hideMark/>
          </w:tcPr>
          <w:p w:rsidR="00C60C1A" w:rsidRPr="003B1FCE" w:rsidRDefault="00C60C1A" w:rsidP="00C60C1A">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1a Evaluación Vinculante 2019, respecto del ejercicio 2018</w:t>
            </w:r>
          </w:p>
        </w:tc>
        <w:tc>
          <w:tcPr>
            <w:tcW w:w="1703" w:type="dxa"/>
            <w:tcBorders>
              <w:top w:val="nil"/>
              <w:left w:val="nil"/>
              <w:bottom w:val="single" w:sz="4" w:space="0" w:color="auto"/>
              <w:right w:val="single" w:sz="4" w:space="0" w:color="auto"/>
            </w:tcBorders>
            <w:shd w:val="clear" w:color="auto" w:fill="ED7D31" w:themeFill="accent2"/>
            <w:vAlign w:val="center"/>
            <w:hideMark/>
          </w:tcPr>
          <w:p w:rsidR="00C60C1A" w:rsidRPr="003B1FCE" w:rsidRDefault="00C60C1A" w:rsidP="00C60C1A">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3a Evaluación Vinculante, respecto de la 1a Evaluación Vinculante</w:t>
            </w:r>
          </w:p>
        </w:tc>
        <w:tc>
          <w:tcPr>
            <w:tcW w:w="990" w:type="dxa"/>
            <w:tcBorders>
              <w:top w:val="nil"/>
              <w:left w:val="nil"/>
              <w:bottom w:val="single" w:sz="4" w:space="0" w:color="auto"/>
              <w:right w:val="single" w:sz="4" w:space="0" w:color="auto"/>
            </w:tcBorders>
            <w:shd w:val="clear" w:color="auto" w:fill="ED7D31" w:themeFill="accent2"/>
            <w:vAlign w:val="center"/>
            <w:hideMark/>
          </w:tcPr>
          <w:p w:rsidR="00C60C1A" w:rsidRPr="003B1FCE" w:rsidRDefault="00C60C1A" w:rsidP="00C60C1A">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Mejoría</w:t>
            </w:r>
          </w:p>
        </w:tc>
      </w:tr>
      <w:tr w:rsidR="00920167" w:rsidRPr="003B1FCE" w:rsidTr="00920167">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1</w:t>
            </w:r>
          </w:p>
        </w:tc>
        <w:tc>
          <w:tcPr>
            <w:tcW w:w="4352"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rPr>
                <w:rFonts w:ascii="Arial" w:hAnsi="Arial" w:cs="Arial"/>
                <w:color w:val="000000"/>
                <w:sz w:val="20"/>
                <w:szCs w:val="20"/>
              </w:rPr>
            </w:pPr>
            <w:r w:rsidRPr="003B1FCE">
              <w:rPr>
                <w:rFonts w:ascii="Arial" w:hAnsi="Arial" w:cs="Arial"/>
                <w:color w:val="000000"/>
                <w:sz w:val="20"/>
                <w:szCs w:val="20"/>
              </w:rPr>
              <w:t>Instituto Electoral de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99.78</w:t>
            </w:r>
          </w:p>
        </w:tc>
        <w:tc>
          <w:tcPr>
            <w:tcW w:w="1703"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0.22</w:t>
            </w:r>
          </w:p>
        </w:tc>
      </w:tr>
      <w:tr w:rsidR="00920167" w:rsidRPr="003B1FCE" w:rsidTr="00920167">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2</w:t>
            </w:r>
          </w:p>
        </w:tc>
        <w:tc>
          <w:tcPr>
            <w:tcW w:w="4352"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rPr>
                <w:rFonts w:ascii="Arial" w:hAnsi="Arial" w:cs="Arial"/>
                <w:color w:val="000000"/>
                <w:sz w:val="20"/>
                <w:szCs w:val="20"/>
              </w:rPr>
            </w:pPr>
            <w:r w:rsidRPr="003B1FCE">
              <w:rPr>
                <w:rFonts w:ascii="Arial" w:hAnsi="Arial" w:cs="Arial"/>
                <w:color w:val="000000"/>
                <w:sz w:val="20"/>
                <w:szCs w:val="20"/>
              </w:rPr>
              <w:t>Comisión de Derechos Humanos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95.76</w:t>
            </w:r>
          </w:p>
        </w:tc>
        <w:tc>
          <w:tcPr>
            <w:tcW w:w="1703"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4.24</w:t>
            </w:r>
          </w:p>
        </w:tc>
      </w:tr>
      <w:tr w:rsidR="00920167" w:rsidRPr="003B1FCE" w:rsidTr="00920167">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3</w:t>
            </w:r>
          </w:p>
        </w:tc>
        <w:tc>
          <w:tcPr>
            <w:tcW w:w="4352"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rPr>
                <w:rFonts w:ascii="Arial" w:hAnsi="Arial" w:cs="Arial"/>
                <w:color w:val="000000"/>
                <w:sz w:val="20"/>
                <w:szCs w:val="20"/>
              </w:rPr>
            </w:pPr>
            <w:r w:rsidRPr="003B1FCE">
              <w:rPr>
                <w:rFonts w:ascii="Arial" w:hAnsi="Arial" w:cs="Arial"/>
                <w:color w:val="000000"/>
                <w:sz w:val="20"/>
                <w:szCs w:val="20"/>
              </w:rPr>
              <w:t>Junta Local de Conciliación y Arbitraje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74.17</w:t>
            </w:r>
          </w:p>
        </w:tc>
        <w:tc>
          <w:tcPr>
            <w:tcW w:w="1703"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25.83</w:t>
            </w:r>
          </w:p>
        </w:tc>
      </w:tr>
      <w:tr w:rsidR="00920167" w:rsidRPr="003B1FCE" w:rsidTr="00920167">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4</w:t>
            </w:r>
          </w:p>
        </w:tc>
        <w:tc>
          <w:tcPr>
            <w:tcW w:w="4352"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rPr>
                <w:rFonts w:ascii="Arial" w:hAnsi="Arial" w:cs="Arial"/>
                <w:color w:val="000000"/>
                <w:sz w:val="20"/>
                <w:szCs w:val="20"/>
              </w:rPr>
            </w:pPr>
            <w:r w:rsidRPr="003B1FCE">
              <w:rPr>
                <w:rFonts w:ascii="Arial" w:hAnsi="Arial" w:cs="Arial"/>
                <w:color w:val="000000"/>
                <w:sz w:val="20"/>
                <w:szCs w:val="20"/>
              </w:rPr>
              <w:t>Tribunal Electoral de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98.30</w:t>
            </w:r>
          </w:p>
        </w:tc>
        <w:tc>
          <w:tcPr>
            <w:tcW w:w="1703"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99.65</w:t>
            </w:r>
          </w:p>
        </w:tc>
        <w:tc>
          <w:tcPr>
            <w:tcW w:w="990"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1.35</w:t>
            </w:r>
          </w:p>
        </w:tc>
      </w:tr>
      <w:tr w:rsidR="00920167" w:rsidRPr="003B1FCE" w:rsidTr="00920167">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5</w:t>
            </w:r>
          </w:p>
        </w:tc>
        <w:tc>
          <w:tcPr>
            <w:tcW w:w="4352"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rPr>
                <w:rFonts w:ascii="Arial" w:hAnsi="Arial" w:cs="Arial"/>
                <w:color w:val="000000"/>
                <w:sz w:val="20"/>
                <w:szCs w:val="20"/>
              </w:rPr>
            </w:pPr>
            <w:r w:rsidRPr="003B1FCE">
              <w:rPr>
                <w:rFonts w:ascii="Arial" w:hAnsi="Arial" w:cs="Arial"/>
                <w:color w:val="000000"/>
                <w:sz w:val="20"/>
                <w:szCs w:val="20"/>
              </w:rPr>
              <w:t>Instituto de Transparencia, Acceso a la Información Pública, Protección de Datos Personales y Rendición de Cuentas de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94.41</w:t>
            </w:r>
          </w:p>
        </w:tc>
        <w:tc>
          <w:tcPr>
            <w:tcW w:w="1703"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97.36</w:t>
            </w:r>
          </w:p>
        </w:tc>
        <w:tc>
          <w:tcPr>
            <w:tcW w:w="990"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2.95</w:t>
            </w:r>
          </w:p>
        </w:tc>
      </w:tr>
      <w:tr w:rsidR="00920167" w:rsidRPr="003B1FCE" w:rsidTr="00920167">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6</w:t>
            </w:r>
          </w:p>
        </w:tc>
        <w:tc>
          <w:tcPr>
            <w:tcW w:w="4352"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rPr>
                <w:rFonts w:ascii="Arial" w:hAnsi="Arial" w:cs="Arial"/>
                <w:color w:val="000000"/>
                <w:sz w:val="20"/>
                <w:szCs w:val="20"/>
              </w:rPr>
            </w:pPr>
            <w:r w:rsidRPr="003B1FCE">
              <w:rPr>
                <w:rFonts w:ascii="Arial" w:hAnsi="Arial" w:cs="Arial"/>
                <w:color w:val="000000"/>
                <w:sz w:val="20"/>
                <w:szCs w:val="20"/>
              </w:rPr>
              <w:t>Universidad Autónoma de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40.64</w:t>
            </w:r>
          </w:p>
        </w:tc>
        <w:tc>
          <w:tcPr>
            <w:tcW w:w="1703"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67.99</w:t>
            </w:r>
          </w:p>
        </w:tc>
        <w:tc>
          <w:tcPr>
            <w:tcW w:w="990" w:type="dxa"/>
            <w:tcBorders>
              <w:top w:val="nil"/>
              <w:left w:val="nil"/>
              <w:bottom w:val="single" w:sz="4" w:space="0" w:color="auto"/>
              <w:right w:val="single" w:sz="4" w:space="0" w:color="auto"/>
            </w:tcBorders>
            <w:shd w:val="clear" w:color="auto" w:fill="auto"/>
            <w:vAlign w:val="center"/>
            <w:hideMark/>
          </w:tcPr>
          <w:p w:rsidR="00920167" w:rsidRPr="003B1FCE" w:rsidRDefault="00920167" w:rsidP="00920167">
            <w:pPr>
              <w:jc w:val="center"/>
              <w:rPr>
                <w:rFonts w:ascii="Arial" w:hAnsi="Arial" w:cs="Arial"/>
                <w:color w:val="000000"/>
                <w:sz w:val="20"/>
                <w:szCs w:val="20"/>
              </w:rPr>
            </w:pPr>
            <w:r w:rsidRPr="003B1FCE">
              <w:rPr>
                <w:rFonts w:ascii="Arial" w:hAnsi="Arial" w:cs="Arial"/>
                <w:color w:val="000000"/>
                <w:sz w:val="20"/>
                <w:szCs w:val="20"/>
              </w:rPr>
              <w:t>27.34</w:t>
            </w:r>
          </w:p>
        </w:tc>
      </w:tr>
    </w:tbl>
    <w:p w:rsidR="00C60C1A" w:rsidRPr="003B1FCE" w:rsidRDefault="00C60C1A" w:rsidP="00C60C1A">
      <w:pPr>
        <w:spacing w:before="100" w:beforeAutospacing="1" w:after="100" w:afterAutospacing="1" w:line="360" w:lineRule="auto"/>
        <w:contextualSpacing/>
        <w:jc w:val="both"/>
        <w:rPr>
          <w:rFonts w:ascii="Arial" w:hAnsi="Arial" w:cs="Arial"/>
        </w:rPr>
      </w:pPr>
    </w:p>
    <w:p w:rsidR="00C60C1A" w:rsidRPr="003B1FCE" w:rsidRDefault="00C60C1A" w:rsidP="00920167">
      <w:pPr>
        <w:spacing w:before="100" w:beforeAutospacing="1" w:after="100" w:afterAutospacing="1" w:line="360" w:lineRule="auto"/>
        <w:jc w:val="both"/>
        <w:rPr>
          <w:rFonts w:ascii="Arial" w:hAnsi="Arial" w:cs="Arial"/>
        </w:rPr>
      </w:pPr>
      <w:r w:rsidRPr="003B1FCE">
        <w:rPr>
          <w:rFonts w:ascii="Arial" w:hAnsi="Arial" w:cs="Arial"/>
        </w:rPr>
        <w:t xml:space="preserve">Con relación a las recomendaciones y observaciones emitidas a los </w:t>
      </w:r>
      <w:r w:rsidR="00920167" w:rsidRPr="003B1FCE">
        <w:rPr>
          <w:rFonts w:ascii="Arial" w:hAnsi="Arial" w:cs="Arial"/>
        </w:rPr>
        <w:t>seis Órganos Autónomos</w:t>
      </w:r>
      <w:r w:rsidRPr="003B1FCE">
        <w:rPr>
          <w:rFonts w:ascii="Arial" w:hAnsi="Arial" w:cs="Arial"/>
        </w:rPr>
        <w:t xml:space="preserve"> en la Primera Evaluación Vinculante 2019, </w:t>
      </w:r>
      <w:r w:rsidR="00920167" w:rsidRPr="003B1FCE">
        <w:rPr>
          <w:rFonts w:ascii="Arial" w:hAnsi="Arial" w:cs="Arial"/>
        </w:rPr>
        <w:t xml:space="preserve">todos los sujetos que integran el ámbito atendieron las mismas; no obstante, tres atendieron la totalidad </w:t>
      </w:r>
      <w:r w:rsidR="00920167" w:rsidRPr="003B1FCE">
        <w:rPr>
          <w:rFonts w:ascii="Arial" w:hAnsi="Arial" w:cs="Arial"/>
        </w:rPr>
        <w:lastRenderedPageBreak/>
        <w:t>de las recomendaciones, logrando el cumplimiento total de sus obligaciones de transparencia; mientras que los otros tres restantes continúan presentando áreas de oportunidad, por lo que se encuentran ubicadas en un cumplimiento parcial.</w:t>
      </w:r>
      <w:r w:rsidR="002E7CF1" w:rsidRPr="003B1FCE">
        <w:rPr>
          <w:rFonts w:ascii="Arial" w:hAnsi="Arial" w:cs="Arial"/>
        </w:rPr>
        <w:t xml:space="preserve"> Dos sujetos con un IGOT superior al 90% y uno con IGOT entre el 60% y 70%. </w:t>
      </w:r>
    </w:p>
    <w:p w:rsidR="00C60C1A" w:rsidRPr="003B1FCE" w:rsidRDefault="00C60C1A">
      <w:pPr>
        <w:rPr>
          <w:rFonts w:ascii="Arial" w:eastAsiaTheme="majorEastAsia" w:hAnsi="Arial" w:cs="Arial"/>
          <w:b/>
          <w:lang w:eastAsia="en-US"/>
        </w:rPr>
      </w:pPr>
      <w:r w:rsidRPr="003B1FCE">
        <w:rPr>
          <w:rFonts w:ascii="Arial" w:hAnsi="Arial" w:cs="Arial"/>
          <w:b/>
        </w:rPr>
        <w:br w:type="page"/>
      </w:r>
    </w:p>
    <w:p w:rsidR="001F7251" w:rsidRPr="003B1FCE" w:rsidRDefault="001F7251" w:rsidP="00FF7BD9">
      <w:pPr>
        <w:pStyle w:val="Ttulo1"/>
        <w:contextualSpacing/>
        <w:rPr>
          <w:rFonts w:ascii="Arial" w:hAnsi="Arial" w:cs="Arial"/>
          <w:b/>
          <w:color w:val="auto"/>
          <w:sz w:val="24"/>
          <w:szCs w:val="24"/>
        </w:rPr>
      </w:pPr>
      <w:bookmarkStart w:id="25" w:name="_Toc26913264"/>
      <w:r w:rsidRPr="003B1FCE">
        <w:rPr>
          <w:rFonts w:ascii="Arial" w:hAnsi="Arial" w:cs="Arial"/>
          <w:b/>
          <w:color w:val="auto"/>
          <w:sz w:val="24"/>
          <w:szCs w:val="24"/>
        </w:rPr>
        <w:lastRenderedPageBreak/>
        <w:t>PARTIDOS POLÍTICOS</w:t>
      </w:r>
      <w:bookmarkEnd w:id="25"/>
    </w:p>
    <w:p w:rsidR="001F7251" w:rsidRPr="003B1FCE" w:rsidRDefault="001F7251" w:rsidP="001F7251">
      <w:pPr>
        <w:contextualSpacing/>
        <w:rPr>
          <w:rFonts w:ascii="Arial" w:hAnsi="Arial" w:cs="Arial"/>
        </w:rPr>
      </w:pPr>
    </w:p>
    <w:p w:rsidR="001F7251" w:rsidRPr="003B1FCE" w:rsidRDefault="001F7251" w:rsidP="001F7251">
      <w:pPr>
        <w:spacing w:before="100" w:beforeAutospacing="1" w:after="100" w:afterAutospacing="1" w:line="360" w:lineRule="auto"/>
        <w:contextualSpacing/>
        <w:jc w:val="both"/>
        <w:rPr>
          <w:rFonts w:ascii="Arial" w:hAnsi="Arial" w:cs="Arial"/>
        </w:rPr>
      </w:pPr>
      <w:r w:rsidRPr="003B1FCE">
        <w:rPr>
          <w:rFonts w:ascii="Arial" w:hAnsi="Arial" w:cs="Arial"/>
        </w:rPr>
        <w:t xml:space="preserve">El ámbito Partidos Políticos está </w:t>
      </w:r>
      <w:r w:rsidR="00677E37" w:rsidRPr="003B1FCE">
        <w:rPr>
          <w:rFonts w:ascii="Arial" w:hAnsi="Arial" w:cs="Arial"/>
        </w:rPr>
        <w:t>integrado</w:t>
      </w:r>
      <w:r w:rsidRPr="003B1FCE">
        <w:rPr>
          <w:rFonts w:ascii="Arial" w:hAnsi="Arial" w:cs="Arial"/>
        </w:rPr>
        <w:t xml:space="preserve"> por 10 sujetos obligados, de conformidad con el Padrón de sujetos obligados supeditados al cumplimiento de la Ley de Transparencia, Acceso a la Información Pública y Rendición de Cuentas de la Ciudad de México</w:t>
      </w:r>
      <w:r w:rsidRPr="003B1FCE" w:rsidDel="005B5D1B">
        <w:rPr>
          <w:rFonts w:ascii="Arial" w:hAnsi="Arial" w:cs="Arial"/>
        </w:rPr>
        <w:t xml:space="preserve"> </w:t>
      </w:r>
      <w:r w:rsidRPr="003B1FCE">
        <w:rPr>
          <w:rFonts w:ascii="Arial" w:hAnsi="Arial" w:cs="Arial"/>
        </w:rPr>
        <w:t xml:space="preserve">y de la Ley de Protección de Datos Personales en Posesión de los sujetos obligados de la Ciudad de México vigente al 31 de diciembre </w:t>
      </w:r>
      <w:r w:rsidR="00677E37" w:rsidRPr="003B1FCE">
        <w:rPr>
          <w:rFonts w:ascii="Arial" w:hAnsi="Arial" w:cs="Arial"/>
        </w:rPr>
        <w:t>d</w:t>
      </w:r>
      <w:r w:rsidRPr="003B1FCE">
        <w:rPr>
          <w:rFonts w:ascii="Arial" w:hAnsi="Arial" w:cs="Arial"/>
        </w:rPr>
        <w:t xml:space="preserve">e 2018. De </w:t>
      </w:r>
      <w:r w:rsidR="007E533F" w:rsidRPr="003B1FCE">
        <w:rPr>
          <w:rFonts w:ascii="Arial" w:hAnsi="Arial" w:cs="Arial"/>
        </w:rPr>
        <w:t xml:space="preserve">los 10 sujetos obligados que integran el Padrón, ocho sujetos obligados fueron evaluados debido a que el Partido Movimiento Ciudadano y el Partido Revolucionario Institucional obtuvieron cumplimiento total del piso mínimo contemplado en la Ley de Transparencia Local en la Primera Evaluación Vinculante 2019. </w:t>
      </w:r>
    </w:p>
    <w:p w:rsidR="001F7251" w:rsidRPr="003B1FCE" w:rsidRDefault="001F7251" w:rsidP="001F7251">
      <w:pPr>
        <w:spacing w:before="100" w:beforeAutospacing="1" w:after="100" w:afterAutospacing="1" w:line="360" w:lineRule="auto"/>
        <w:contextualSpacing/>
        <w:jc w:val="both"/>
        <w:rPr>
          <w:rFonts w:ascii="Arial" w:hAnsi="Arial" w:cs="Arial"/>
        </w:rPr>
      </w:pPr>
    </w:p>
    <w:p w:rsidR="001F7251" w:rsidRPr="003B1FCE" w:rsidRDefault="001F7251" w:rsidP="001F7251">
      <w:pPr>
        <w:spacing w:before="100" w:beforeAutospacing="1" w:after="100" w:afterAutospacing="1" w:line="360" w:lineRule="auto"/>
        <w:contextualSpacing/>
        <w:jc w:val="both"/>
        <w:rPr>
          <w:rFonts w:ascii="Arial" w:hAnsi="Arial" w:cs="Arial"/>
        </w:rPr>
      </w:pPr>
      <w:r w:rsidRPr="003B1FCE">
        <w:rPr>
          <w:rFonts w:ascii="Arial" w:hAnsi="Arial" w:cs="Arial"/>
        </w:rPr>
        <w:t>Los sujetos obligados, así como su Índice de Cumplimiento de obligaciones de transparencia del Portal de Internet (I</w:t>
      </w:r>
      <w:r w:rsidR="007E533F" w:rsidRPr="003B1FCE">
        <w:rPr>
          <w:rFonts w:ascii="Arial" w:hAnsi="Arial" w:cs="Arial"/>
        </w:rPr>
        <w:t>G</w:t>
      </w:r>
      <w:r w:rsidRPr="003B1FCE">
        <w:rPr>
          <w:rFonts w:ascii="Arial" w:hAnsi="Arial" w:cs="Arial"/>
        </w:rPr>
        <w:t>OT-</w:t>
      </w:r>
      <w:r w:rsidR="00677E37" w:rsidRPr="003B1FCE">
        <w:rPr>
          <w:rFonts w:ascii="Arial" w:hAnsi="Arial" w:cs="Arial"/>
        </w:rPr>
        <w:t>PI</w:t>
      </w:r>
      <w:r w:rsidRPr="003B1FCE">
        <w:rPr>
          <w:rFonts w:ascii="Arial" w:hAnsi="Arial" w:cs="Arial"/>
        </w:rPr>
        <w:t>), el de la Plataforma Nacional de Transparencia (I</w:t>
      </w:r>
      <w:r w:rsidR="007E533F" w:rsidRPr="003B1FCE">
        <w:rPr>
          <w:rFonts w:ascii="Arial" w:hAnsi="Arial" w:cs="Arial"/>
        </w:rPr>
        <w:t>G</w:t>
      </w:r>
      <w:r w:rsidRPr="003B1FCE">
        <w:rPr>
          <w:rFonts w:ascii="Arial" w:hAnsi="Arial" w:cs="Arial"/>
        </w:rPr>
        <w:t xml:space="preserve">OT-PNT) y el Índice General de Cumplimiento de obligaciones de transparencia (IGOT) se presentan en la siguiente tabla, ordenados de forma descendente, respecto del IGOT: </w:t>
      </w:r>
    </w:p>
    <w:p w:rsidR="001F7251" w:rsidRPr="003B1FCE" w:rsidRDefault="001F7251" w:rsidP="001F7251">
      <w:pPr>
        <w:spacing w:before="100" w:beforeAutospacing="1" w:after="100" w:afterAutospacing="1" w:line="360" w:lineRule="auto"/>
        <w:contextualSpacing/>
        <w:jc w:val="both"/>
        <w:rPr>
          <w:rFonts w:ascii="Arial" w:hAnsi="Arial" w:cs="Arial"/>
        </w:rPr>
      </w:pPr>
    </w:p>
    <w:tbl>
      <w:tblPr>
        <w:tblW w:w="8926" w:type="dxa"/>
        <w:tblCellMar>
          <w:left w:w="70" w:type="dxa"/>
          <w:right w:w="70" w:type="dxa"/>
        </w:tblCellMar>
        <w:tblLook w:val="04A0" w:firstRow="1" w:lastRow="0" w:firstColumn="1" w:lastColumn="0" w:noHBand="0" w:noVBand="1"/>
      </w:tblPr>
      <w:tblGrid>
        <w:gridCol w:w="529"/>
        <w:gridCol w:w="5136"/>
        <w:gridCol w:w="1123"/>
        <w:gridCol w:w="1263"/>
        <w:gridCol w:w="875"/>
      </w:tblGrid>
      <w:tr w:rsidR="001F7251" w:rsidRPr="003B1FCE" w:rsidTr="00B018FB">
        <w:trPr>
          <w:trHeight w:val="860"/>
          <w:tblHeader/>
        </w:trPr>
        <w:tc>
          <w:tcPr>
            <w:tcW w:w="8926" w:type="dxa"/>
            <w:gridSpan w:val="5"/>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1F7251" w:rsidRPr="003B1FCE" w:rsidRDefault="001F7251" w:rsidP="001F7251">
            <w:pPr>
              <w:jc w:val="center"/>
              <w:rPr>
                <w:rFonts w:ascii="Arial" w:hAnsi="Arial" w:cs="Arial"/>
                <w:b/>
                <w:bCs/>
                <w:color w:val="000000"/>
                <w:sz w:val="20"/>
                <w:szCs w:val="20"/>
              </w:rPr>
            </w:pPr>
            <w:r w:rsidRPr="003B1FCE">
              <w:rPr>
                <w:rFonts w:ascii="Arial" w:hAnsi="Arial" w:cs="Arial"/>
                <w:b/>
                <w:bCs/>
                <w:color w:val="000000"/>
                <w:sz w:val="20"/>
                <w:szCs w:val="20"/>
              </w:rPr>
              <w:t>Resultados de la Tercera Evaluación Vinculante 2019, respecto de las recomendaciones y observaciones de la Primera Evaluación Vinculante 2019</w:t>
            </w:r>
          </w:p>
        </w:tc>
      </w:tr>
      <w:tr w:rsidR="001F7251" w:rsidRPr="003B1FCE" w:rsidTr="00B018FB">
        <w:trPr>
          <w:trHeight w:val="340"/>
          <w:tblHeader/>
        </w:trPr>
        <w:tc>
          <w:tcPr>
            <w:tcW w:w="529" w:type="dxa"/>
            <w:tcBorders>
              <w:top w:val="nil"/>
              <w:left w:val="single" w:sz="4" w:space="0" w:color="auto"/>
              <w:bottom w:val="single" w:sz="4" w:space="0" w:color="auto"/>
              <w:right w:val="single" w:sz="4" w:space="0" w:color="auto"/>
            </w:tcBorders>
            <w:shd w:val="clear" w:color="auto" w:fill="ED7D31" w:themeFill="accent2"/>
            <w:vAlign w:val="center"/>
            <w:hideMark/>
          </w:tcPr>
          <w:p w:rsidR="001F7251" w:rsidRPr="003B1FCE" w:rsidRDefault="001F7251" w:rsidP="001F7251">
            <w:pPr>
              <w:jc w:val="center"/>
              <w:rPr>
                <w:rFonts w:ascii="Arial" w:hAnsi="Arial" w:cs="Arial"/>
                <w:b/>
                <w:bCs/>
                <w:color w:val="000000"/>
                <w:sz w:val="20"/>
                <w:szCs w:val="20"/>
              </w:rPr>
            </w:pPr>
            <w:r w:rsidRPr="003B1FCE">
              <w:rPr>
                <w:rFonts w:ascii="Arial" w:hAnsi="Arial" w:cs="Arial"/>
                <w:b/>
                <w:bCs/>
                <w:color w:val="000000"/>
                <w:sz w:val="20"/>
                <w:szCs w:val="20"/>
              </w:rPr>
              <w:t>No.</w:t>
            </w:r>
          </w:p>
        </w:tc>
        <w:tc>
          <w:tcPr>
            <w:tcW w:w="5136" w:type="dxa"/>
            <w:tcBorders>
              <w:top w:val="nil"/>
              <w:left w:val="nil"/>
              <w:bottom w:val="single" w:sz="4" w:space="0" w:color="auto"/>
              <w:right w:val="single" w:sz="4" w:space="0" w:color="auto"/>
            </w:tcBorders>
            <w:shd w:val="clear" w:color="auto" w:fill="ED7D31" w:themeFill="accent2"/>
            <w:vAlign w:val="center"/>
            <w:hideMark/>
          </w:tcPr>
          <w:p w:rsidR="001F7251" w:rsidRPr="003B1FCE" w:rsidRDefault="001F7251" w:rsidP="001F7251">
            <w:pPr>
              <w:jc w:val="center"/>
              <w:rPr>
                <w:rFonts w:ascii="Arial" w:hAnsi="Arial" w:cs="Arial"/>
                <w:b/>
                <w:bCs/>
                <w:color w:val="000000"/>
                <w:sz w:val="20"/>
                <w:szCs w:val="20"/>
              </w:rPr>
            </w:pPr>
            <w:r w:rsidRPr="003B1FCE">
              <w:rPr>
                <w:rFonts w:ascii="Arial" w:hAnsi="Arial" w:cs="Arial"/>
                <w:b/>
                <w:bCs/>
                <w:color w:val="000000"/>
                <w:sz w:val="20"/>
                <w:szCs w:val="20"/>
              </w:rPr>
              <w:t>Sujeto obligado</w:t>
            </w:r>
          </w:p>
        </w:tc>
        <w:tc>
          <w:tcPr>
            <w:tcW w:w="1123" w:type="dxa"/>
            <w:tcBorders>
              <w:top w:val="nil"/>
              <w:left w:val="nil"/>
              <w:bottom w:val="single" w:sz="4" w:space="0" w:color="auto"/>
              <w:right w:val="single" w:sz="4" w:space="0" w:color="auto"/>
            </w:tcBorders>
            <w:shd w:val="clear" w:color="auto" w:fill="ED7D31" w:themeFill="accent2"/>
            <w:vAlign w:val="center"/>
            <w:hideMark/>
          </w:tcPr>
          <w:p w:rsidR="001F7251" w:rsidRPr="003B1FCE" w:rsidRDefault="001F7251" w:rsidP="001F7251">
            <w:pPr>
              <w:jc w:val="center"/>
              <w:rPr>
                <w:rFonts w:ascii="Arial" w:hAnsi="Arial" w:cs="Arial"/>
                <w:b/>
                <w:bCs/>
                <w:color w:val="000000"/>
                <w:sz w:val="20"/>
                <w:szCs w:val="20"/>
              </w:rPr>
            </w:pPr>
            <w:r w:rsidRPr="003B1FCE">
              <w:rPr>
                <w:rFonts w:ascii="Arial" w:hAnsi="Arial" w:cs="Arial"/>
                <w:b/>
                <w:bCs/>
                <w:color w:val="000000"/>
                <w:sz w:val="20"/>
                <w:szCs w:val="20"/>
              </w:rPr>
              <w:t>I</w:t>
            </w:r>
            <w:r w:rsidR="007E533F" w:rsidRPr="003B1FCE">
              <w:rPr>
                <w:rFonts w:ascii="Arial" w:hAnsi="Arial" w:cs="Arial"/>
                <w:b/>
                <w:bCs/>
                <w:color w:val="000000"/>
                <w:sz w:val="20"/>
                <w:szCs w:val="20"/>
              </w:rPr>
              <w:t>C</w:t>
            </w:r>
            <w:r w:rsidRPr="003B1FCE">
              <w:rPr>
                <w:rFonts w:ascii="Arial" w:hAnsi="Arial" w:cs="Arial"/>
                <w:b/>
                <w:bCs/>
                <w:color w:val="000000"/>
                <w:sz w:val="20"/>
                <w:szCs w:val="20"/>
              </w:rPr>
              <w:t>OT-</w:t>
            </w:r>
            <w:r w:rsidR="00677E37" w:rsidRPr="003B1FCE">
              <w:rPr>
                <w:rFonts w:ascii="Arial" w:hAnsi="Arial" w:cs="Arial"/>
                <w:b/>
                <w:bCs/>
                <w:color w:val="000000"/>
                <w:sz w:val="20"/>
                <w:szCs w:val="20"/>
              </w:rPr>
              <w:t>PI</w:t>
            </w:r>
          </w:p>
        </w:tc>
        <w:tc>
          <w:tcPr>
            <w:tcW w:w="1263" w:type="dxa"/>
            <w:tcBorders>
              <w:top w:val="nil"/>
              <w:left w:val="nil"/>
              <w:bottom w:val="single" w:sz="4" w:space="0" w:color="auto"/>
              <w:right w:val="single" w:sz="4" w:space="0" w:color="auto"/>
            </w:tcBorders>
            <w:shd w:val="clear" w:color="auto" w:fill="ED7D31" w:themeFill="accent2"/>
            <w:vAlign w:val="center"/>
            <w:hideMark/>
          </w:tcPr>
          <w:p w:rsidR="001F7251" w:rsidRPr="003B1FCE" w:rsidRDefault="001F7251" w:rsidP="001F7251">
            <w:pPr>
              <w:jc w:val="center"/>
              <w:rPr>
                <w:rFonts w:ascii="Arial" w:hAnsi="Arial" w:cs="Arial"/>
                <w:b/>
                <w:bCs/>
                <w:color w:val="000000"/>
                <w:sz w:val="20"/>
                <w:szCs w:val="20"/>
              </w:rPr>
            </w:pPr>
            <w:r w:rsidRPr="003B1FCE">
              <w:rPr>
                <w:rFonts w:ascii="Arial" w:hAnsi="Arial" w:cs="Arial"/>
                <w:b/>
                <w:bCs/>
                <w:color w:val="000000"/>
                <w:sz w:val="20"/>
                <w:szCs w:val="20"/>
              </w:rPr>
              <w:t>I</w:t>
            </w:r>
            <w:r w:rsidR="007E533F" w:rsidRPr="003B1FCE">
              <w:rPr>
                <w:rFonts w:ascii="Arial" w:hAnsi="Arial" w:cs="Arial"/>
                <w:b/>
                <w:bCs/>
                <w:color w:val="000000"/>
                <w:sz w:val="20"/>
                <w:szCs w:val="20"/>
              </w:rPr>
              <w:t>C</w:t>
            </w:r>
            <w:r w:rsidRPr="003B1FCE">
              <w:rPr>
                <w:rFonts w:ascii="Arial" w:hAnsi="Arial" w:cs="Arial"/>
                <w:b/>
                <w:bCs/>
                <w:color w:val="000000"/>
                <w:sz w:val="20"/>
                <w:szCs w:val="20"/>
              </w:rPr>
              <w:t>OT-PNT</w:t>
            </w:r>
          </w:p>
        </w:tc>
        <w:tc>
          <w:tcPr>
            <w:tcW w:w="875" w:type="dxa"/>
            <w:tcBorders>
              <w:top w:val="nil"/>
              <w:left w:val="nil"/>
              <w:bottom w:val="single" w:sz="4" w:space="0" w:color="auto"/>
              <w:right w:val="single" w:sz="4" w:space="0" w:color="auto"/>
            </w:tcBorders>
            <w:shd w:val="clear" w:color="auto" w:fill="ED7D31" w:themeFill="accent2"/>
            <w:vAlign w:val="center"/>
            <w:hideMark/>
          </w:tcPr>
          <w:p w:rsidR="001F7251" w:rsidRPr="003B1FCE" w:rsidRDefault="001F7251" w:rsidP="001F7251">
            <w:pPr>
              <w:jc w:val="center"/>
              <w:rPr>
                <w:rFonts w:ascii="Arial" w:hAnsi="Arial" w:cs="Arial"/>
                <w:b/>
                <w:bCs/>
                <w:color w:val="000000"/>
                <w:sz w:val="20"/>
                <w:szCs w:val="20"/>
              </w:rPr>
            </w:pPr>
            <w:r w:rsidRPr="003B1FCE">
              <w:rPr>
                <w:rFonts w:ascii="Arial" w:hAnsi="Arial" w:cs="Arial"/>
                <w:b/>
                <w:bCs/>
                <w:color w:val="000000"/>
                <w:sz w:val="20"/>
                <w:szCs w:val="20"/>
              </w:rPr>
              <w:t>IGOT</w:t>
            </w:r>
          </w:p>
        </w:tc>
      </w:tr>
      <w:tr w:rsidR="00356F3F" w:rsidRPr="003B1FCE" w:rsidTr="00356F3F">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lang w:val="es-MX"/>
              </w:rPr>
            </w:pPr>
            <w:r w:rsidRPr="00356F3F">
              <w:rPr>
                <w:rFonts w:ascii="Arial" w:hAnsi="Arial" w:cs="Arial"/>
                <w:color w:val="000000"/>
                <w:sz w:val="20"/>
                <w:szCs w:val="20"/>
              </w:rPr>
              <w:t>1</w:t>
            </w:r>
          </w:p>
        </w:tc>
        <w:tc>
          <w:tcPr>
            <w:tcW w:w="5136"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rPr>
                <w:rFonts w:ascii="Arial" w:hAnsi="Arial" w:cs="Arial"/>
                <w:color w:val="000000"/>
                <w:sz w:val="20"/>
                <w:szCs w:val="20"/>
              </w:rPr>
            </w:pPr>
            <w:r w:rsidRPr="00356F3F">
              <w:rPr>
                <w:rFonts w:ascii="Arial" w:hAnsi="Arial" w:cs="Arial"/>
                <w:color w:val="000000"/>
                <w:sz w:val="20"/>
                <w:szCs w:val="20"/>
              </w:rPr>
              <w:t>Partido del Trabajo en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100.00</w:t>
            </w:r>
          </w:p>
        </w:tc>
      </w:tr>
      <w:tr w:rsidR="00356F3F" w:rsidRPr="003B1FCE" w:rsidTr="00356F3F">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2</w:t>
            </w:r>
          </w:p>
        </w:tc>
        <w:tc>
          <w:tcPr>
            <w:tcW w:w="5136"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rPr>
                <w:rFonts w:ascii="Arial" w:hAnsi="Arial" w:cs="Arial"/>
                <w:color w:val="000000"/>
                <w:sz w:val="20"/>
                <w:szCs w:val="20"/>
              </w:rPr>
            </w:pPr>
            <w:r w:rsidRPr="00356F3F">
              <w:rPr>
                <w:rFonts w:ascii="Arial" w:hAnsi="Arial" w:cs="Arial"/>
                <w:color w:val="000000"/>
                <w:sz w:val="20"/>
                <w:szCs w:val="20"/>
              </w:rPr>
              <w:t>Partido Verde Ecologista de México en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100.00</w:t>
            </w:r>
          </w:p>
        </w:tc>
        <w:tc>
          <w:tcPr>
            <w:tcW w:w="1263"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100.00</w:t>
            </w:r>
          </w:p>
        </w:tc>
        <w:tc>
          <w:tcPr>
            <w:tcW w:w="875"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100.00</w:t>
            </w:r>
          </w:p>
        </w:tc>
      </w:tr>
      <w:tr w:rsidR="00356F3F" w:rsidRPr="003B1FCE" w:rsidTr="00356F3F">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356F3F" w:rsidRPr="00BB29B8" w:rsidRDefault="00356F3F" w:rsidP="00356F3F">
            <w:pPr>
              <w:jc w:val="center"/>
              <w:rPr>
                <w:rFonts w:ascii="Arial" w:hAnsi="Arial" w:cs="Arial"/>
                <w:color w:val="000000"/>
                <w:sz w:val="20"/>
                <w:szCs w:val="20"/>
                <w:highlight w:val="yellow"/>
              </w:rPr>
            </w:pPr>
            <w:r w:rsidRPr="00BB29B8">
              <w:rPr>
                <w:rFonts w:ascii="Arial" w:hAnsi="Arial" w:cs="Arial"/>
                <w:color w:val="000000"/>
                <w:sz w:val="20"/>
                <w:szCs w:val="20"/>
                <w:highlight w:val="yellow"/>
              </w:rPr>
              <w:t>3</w:t>
            </w:r>
          </w:p>
        </w:tc>
        <w:tc>
          <w:tcPr>
            <w:tcW w:w="5136" w:type="dxa"/>
            <w:tcBorders>
              <w:top w:val="nil"/>
              <w:left w:val="nil"/>
              <w:bottom w:val="single" w:sz="4" w:space="0" w:color="auto"/>
              <w:right w:val="single" w:sz="4" w:space="0" w:color="auto"/>
            </w:tcBorders>
            <w:shd w:val="clear" w:color="auto" w:fill="auto"/>
            <w:vAlign w:val="center"/>
            <w:hideMark/>
          </w:tcPr>
          <w:p w:rsidR="00356F3F" w:rsidRPr="00BB29B8" w:rsidRDefault="00356F3F" w:rsidP="00356F3F">
            <w:pPr>
              <w:rPr>
                <w:rFonts w:ascii="Arial" w:hAnsi="Arial" w:cs="Arial"/>
                <w:color w:val="000000"/>
                <w:sz w:val="20"/>
                <w:szCs w:val="20"/>
                <w:highlight w:val="yellow"/>
              </w:rPr>
            </w:pPr>
            <w:r w:rsidRPr="00BB29B8">
              <w:rPr>
                <w:rFonts w:ascii="Arial" w:hAnsi="Arial" w:cs="Arial"/>
                <w:color w:val="000000"/>
                <w:sz w:val="20"/>
                <w:szCs w:val="20"/>
                <w:highlight w:val="yellow"/>
              </w:rPr>
              <w:t>Partido de la Revolución Democrática en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356F3F" w:rsidRPr="00BB29B8" w:rsidRDefault="00356F3F" w:rsidP="00356F3F">
            <w:pPr>
              <w:jc w:val="center"/>
              <w:rPr>
                <w:rFonts w:ascii="Arial" w:hAnsi="Arial" w:cs="Arial"/>
                <w:color w:val="000000"/>
                <w:sz w:val="20"/>
                <w:szCs w:val="20"/>
                <w:highlight w:val="yellow"/>
              </w:rPr>
            </w:pPr>
            <w:r w:rsidRPr="00BB29B8">
              <w:rPr>
                <w:rFonts w:ascii="Arial" w:hAnsi="Arial" w:cs="Arial"/>
                <w:color w:val="000000"/>
                <w:sz w:val="20"/>
                <w:szCs w:val="20"/>
                <w:highlight w:val="yellow"/>
              </w:rPr>
              <w:t>90.51</w:t>
            </w:r>
          </w:p>
        </w:tc>
        <w:tc>
          <w:tcPr>
            <w:tcW w:w="1263" w:type="dxa"/>
            <w:tcBorders>
              <w:top w:val="nil"/>
              <w:left w:val="nil"/>
              <w:bottom w:val="single" w:sz="4" w:space="0" w:color="auto"/>
              <w:right w:val="single" w:sz="4" w:space="0" w:color="auto"/>
            </w:tcBorders>
            <w:shd w:val="clear" w:color="auto" w:fill="auto"/>
            <w:vAlign w:val="center"/>
            <w:hideMark/>
          </w:tcPr>
          <w:p w:rsidR="00356F3F" w:rsidRPr="00BB29B8" w:rsidRDefault="00356F3F" w:rsidP="00356F3F">
            <w:pPr>
              <w:jc w:val="center"/>
              <w:rPr>
                <w:rFonts w:ascii="Arial" w:hAnsi="Arial" w:cs="Arial"/>
                <w:color w:val="000000"/>
                <w:sz w:val="20"/>
                <w:szCs w:val="20"/>
                <w:highlight w:val="yellow"/>
              </w:rPr>
            </w:pPr>
            <w:r w:rsidRPr="00BB29B8">
              <w:rPr>
                <w:rFonts w:ascii="Arial" w:hAnsi="Arial" w:cs="Arial"/>
                <w:color w:val="000000"/>
                <w:sz w:val="20"/>
                <w:szCs w:val="20"/>
                <w:highlight w:val="yellow"/>
              </w:rPr>
              <w:t>83.77</w:t>
            </w:r>
          </w:p>
        </w:tc>
        <w:tc>
          <w:tcPr>
            <w:tcW w:w="875" w:type="dxa"/>
            <w:tcBorders>
              <w:top w:val="nil"/>
              <w:left w:val="nil"/>
              <w:bottom w:val="single" w:sz="4" w:space="0" w:color="auto"/>
              <w:right w:val="single" w:sz="4" w:space="0" w:color="auto"/>
            </w:tcBorders>
            <w:shd w:val="clear" w:color="auto" w:fill="auto"/>
            <w:vAlign w:val="center"/>
            <w:hideMark/>
          </w:tcPr>
          <w:p w:rsidR="00356F3F" w:rsidRPr="00BB29B8" w:rsidRDefault="00356F3F" w:rsidP="00356F3F">
            <w:pPr>
              <w:jc w:val="center"/>
              <w:rPr>
                <w:rFonts w:ascii="Arial" w:hAnsi="Arial" w:cs="Arial"/>
                <w:color w:val="000000"/>
                <w:sz w:val="20"/>
                <w:szCs w:val="20"/>
                <w:highlight w:val="yellow"/>
              </w:rPr>
            </w:pPr>
            <w:r w:rsidRPr="00BB29B8">
              <w:rPr>
                <w:rFonts w:ascii="Arial" w:hAnsi="Arial" w:cs="Arial"/>
                <w:color w:val="000000"/>
                <w:sz w:val="20"/>
                <w:szCs w:val="20"/>
                <w:highlight w:val="yellow"/>
              </w:rPr>
              <w:t>87.14</w:t>
            </w:r>
          </w:p>
        </w:tc>
      </w:tr>
      <w:tr w:rsidR="00356F3F" w:rsidRPr="003B1FCE" w:rsidTr="00356F3F">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4</w:t>
            </w:r>
          </w:p>
        </w:tc>
        <w:tc>
          <w:tcPr>
            <w:tcW w:w="5136"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rPr>
                <w:rFonts w:ascii="Arial" w:hAnsi="Arial" w:cs="Arial"/>
                <w:color w:val="000000"/>
                <w:sz w:val="20"/>
                <w:szCs w:val="20"/>
              </w:rPr>
            </w:pPr>
            <w:r w:rsidRPr="00356F3F">
              <w:rPr>
                <w:rFonts w:ascii="Arial" w:hAnsi="Arial" w:cs="Arial"/>
                <w:color w:val="000000"/>
                <w:sz w:val="20"/>
                <w:szCs w:val="20"/>
              </w:rPr>
              <w:t>Partido Acción Nacional en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52.21</w:t>
            </w:r>
          </w:p>
        </w:tc>
        <w:tc>
          <w:tcPr>
            <w:tcW w:w="1263"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61.03</w:t>
            </w:r>
          </w:p>
        </w:tc>
        <w:tc>
          <w:tcPr>
            <w:tcW w:w="875"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56.62</w:t>
            </w:r>
          </w:p>
        </w:tc>
      </w:tr>
      <w:tr w:rsidR="00356F3F" w:rsidRPr="003B1FCE" w:rsidTr="00356F3F">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lastRenderedPageBreak/>
              <w:t>5</w:t>
            </w:r>
          </w:p>
        </w:tc>
        <w:tc>
          <w:tcPr>
            <w:tcW w:w="5136"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rPr>
                <w:rFonts w:ascii="Arial" w:hAnsi="Arial" w:cs="Arial"/>
                <w:color w:val="000000"/>
                <w:sz w:val="20"/>
                <w:szCs w:val="20"/>
              </w:rPr>
            </w:pPr>
            <w:r w:rsidRPr="00356F3F">
              <w:rPr>
                <w:rFonts w:ascii="Arial" w:hAnsi="Arial" w:cs="Arial"/>
                <w:color w:val="000000"/>
                <w:sz w:val="20"/>
                <w:szCs w:val="20"/>
              </w:rPr>
              <w:t>Partido Humanista en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54.73</w:t>
            </w:r>
          </w:p>
        </w:tc>
        <w:tc>
          <w:tcPr>
            <w:tcW w:w="1263"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55.03</w:t>
            </w:r>
          </w:p>
        </w:tc>
        <w:tc>
          <w:tcPr>
            <w:tcW w:w="875"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54.88</w:t>
            </w:r>
          </w:p>
        </w:tc>
      </w:tr>
      <w:tr w:rsidR="00356F3F" w:rsidRPr="003B1FCE" w:rsidTr="00356F3F">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6</w:t>
            </w:r>
          </w:p>
        </w:tc>
        <w:tc>
          <w:tcPr>
            <w:tcW w:w="5136"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rPr>
                <w:rFonts w:ascii="Arial" w:hAnsi="Arial" w:cs="Arial"/>
                <w:color w:val="000000"/>
                <w:sz w:val="20"/>
                <w:szCs w:val="20"/>
              </w:rPr>
            </w:pPr>
            <w:r w:rsidRPr="00356F3F">
              <w:rPr>
                <w:rFonts w:ascii="Arial" w:hAnsi="Arial" w:cs="Arial"/>
                <w:color w:val="000000"/>
                <w:sz w:val="20"/>
                <w:szCs w:val="20"/>
              </w:rPr>
              <w:t>MORENA en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39.20</w:t>
            </w:r>
          </w:p>
        </w:tc>
        <w:tc>
          <w:tcPr>
            <w:tcW w:w="1263"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28.51</w:t>
            </w:r>
          </w:p>
        </w:tc>
        <w:tc>
          <w:tcPr>
            <w:tcW w:w="875"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33.85</w:t>
            </w:r>
          </w:p>
        </w:tc>
      </w:tr>
      <w:tr w:rsidR="00356F3F" w:rsidRPr="003B1FCE" w:rsidTr="00356F3F">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7</w:t>
            </w:r>
          </w:p>
        </w:tc>
        <w:tc>
          <w:tcPr>
            <w:tcW w:w="5136"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rPr>
                <w:rFonts w:ascii="Arial" w:hAnsi="Arial" w:cs="Arial"/>
                <w:color w:val="000000"/>
                <w:sz w:val="20"/>
                <w:szCs w:val="20"/>
              </w:rPr>
            </w:pPr>
            <w:r w:rsidRPr="00356F3F">
              <w:rPr>
                <w:rFonts w:ascii="Arial" w:hAnsi="Arial" w:cs="Arial"/>
                <w:color w:val="000000"/>
                <w:sz w:val="20"/>
                <w:szCs w:val="20"/>
              </w:rPr>
              <w:t>Encuentro Social en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15.38</w:t>
            </w:r>
          </w:p>
        </w:tc>
        <w:tc>
          <w:tcPr>
            <w:tcW w:w="1263"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51.88</w:t>
            </w:r>
          </w:p>
        </w:tc>
        <w:tc>
          <w:tcPr>
            <w:tcW w:w="875"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33.63</w:t>
            </w:r>
          </w:p>
        </w:tc>
      </w:tr>
      <w:tr w:rsidR="00356F3F" w:rsidRPr="003B1FCE" w:rsidTr="00356F3F">
        <w:trPr>
          <w:trHeight w:val="68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8</w:t>
            </w:r>
          </w:p>
        </w:tc>
        <w:tc>
          <w:tcPr>
            <w:tcW w:w="5136"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rPr>
                <w:rFonts w:ascii="Arial" w:hAnsi="Arial" w:cs="Arial"/>
                <w:color w:val="000000"/>
                <w:sz w:val="20"/>
                <w:szCs w:val="20"/>
              </w:rPr>
            </w:pPr>
            <w:r w:rsidRPr="00356F3F">
              <w:rPr>
                <w:rFonts w:ascii="Arial" w:hAnsi="Arial" w:cs="Arial"/>
                <w:color w:val="000000"/>
                <w:sz w:val="20"/>
                <w:szCs w:val="20"/>
              </w:rPr>
              <w:t>Nueva Alianza en la Ciudad de México</w:t>
            </w:r>
          </w:p>
        </w:tc>
        <w:tc>
          <w:tcPr>
            <w:tcW w:w="1123"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18.59</w:t>
            </w:r>
          </w:p>
        </w:tc>
        <w:tc>
          <w:tcPr>
            <w:tcW w:w="1263"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23.59</w:t>
            </w:r>
          </w:p>
        </w:tc>
        <w:tc>
          <w:tcPr>
            <w:tcW w:w="875" w:type="dxa"/>
            <w:tcBorders>
              <w:top w:val="nil"/>
              <w:left w:val="nil"/>
              <w:bottom w:val="single" w:sz="4" w:space="0" w:color="auto"/>
              <w:right w:val="single" w:sz="4" w:space="0" w:color="auto"/>
            </w:tcBorders>
            <w:shd w:val="clear" w:color="auto" w:fill="auto"/>
            <w:vAlign w:val="center"/>
            <w:hideMark/>
          </w:tcPr>
          <w:p w:rsidR="00356F3F" w:rsidRPr="00356F3F" w:rsidRDefault="00356F3F" w:rsidP="00356F3F">
            <w:pPr>
              <w:jc w:val="center"/>
              <w:rPr>
                <w:rFonts w:ascii="Arial" w:hAnsi="Arial" w:cs="Arial"/>
                <w:color w:val="000000"/>
                <w:sz w:val="20"/>
                <w:szCs w:val="20"/>
              </w:rPr>
            </w:pPr>
            <w:r w:rsidRPr="00356F3F">
              <w:rPr>
                <w:rFonts w:ascii="Arial" w:hAnsi="Arial" w:cs="Arial"/>
                <w:color w:val="000000"/>
                <w:sz w:val="20"/>
                <w:szCs w:val="20"/>
              </w:rPr>
              <w:t>21.09</w:t>
            </w:r>
          </w:p>
        </w:tc>
      </w:tr>
    </w:tbl>
    <w:p w:rsidR="001F7251" w:rsidRPr="003B1FCE" w:rsidRDefault="001F7251" w:rsidP="001F7251">
      <w:pPr>
        <w:spacing w:before="100" w:beforeAutospacing="1" w:after="100" w:afterAutospacing="1" w:line="360" w:lineRule="auto"/>
        <w:contextualSpacing/>
        <w:jc w:val="both"/>
        <w:rPr>
          <w:rFonts w:ascii="Arial" w:hAnsi="Arial" w:cs="Arial"/>
          <w:sz w:val="16"/>
          <w:szCs w:val="16"/>
        </w:rPr>
      </w:pPr>
      <w:r w:rsidRPr="003B1FCE">
        <w:rPr>
          <w:rFonts w:ascii="Arial" w:hAnsi="Arial" w:cs="Arial"/>
          <w:b/>
          <w:sz w:val="16"/>
          <w:szCs w:val="16"/>
        </w:rPr>
        <w:t>Nota metodológica</w:t>
      </w:r>
      <w:r w:rsidRPr="003B1FCE">
        <w:rPr>
          <w:rFonts w:ascii="Arial" w:hAnsi="Arial" w:cs="Arial"/>
          <w:sz w:val="16"/>
          <w:szCs w:val="16"/>
        </w:rPr>
        <w:t xml:space="preserve">: </w:t>
      </w:r>
    </w:p>
    <w:p w:rsidR="001F7251" w:rsidRPr="003B1FCE" w:rsidRDefault="001F7251" w:rsidP="001F7251">
      <w:pPr>
        <w:spacing w:before="100" w:beforeAutospacing="1" w:after="100" w:afterAutospacing="1" w:line="360" w:lineRule="auto"/>
        <w:contextualSpacing/>
        <w:jc w:val="both"/>
        <w:rPr>
          <w:rFonts w:ascii="Arial" w:hAnsi="Arial" w:cs="Arial"/>
          <w:sz w:val="16"/>
          <w:szCs w:val="16"/>
        </w:rPr>
      </w:pPr>
      <w:r w:rsidRPr="003B1FCE">
        <w:rPr>
          <w:rFonts w:ascii="Arial" w:hAnsi="Arial" w:cs="Arial"/>
          <w:sz w:val="16"/>
          <w:szCs w:val="16"/>
        </w:rPr>
        <w:t>El IGOT se compone del promedio de ICOT-</w:t>
      </w:r>
      <w:r w:rsidR="00677E37" w:rsidRPr="003B1FCE">
        <w:rPr>
          <w:rFonts w:ascii="Arial" w:hAnsi="Arial" w:cs="Arial"/>
          <w:sz w:val="16"/>
          <w:szCs w:val="16"/>
        </w:rPr>
        <w:t>PI</w:t>
      </w:r>
      <w:r w:rsidRPr="003B1FCE">
        <w:rPr>
          <w:rFonts w:ascii="Arial" w:hAnsi="Arial" w:cs="Arial"/>
          <w:sz w:val="16"/>
          <w:szCs w:val="16"/>
        </w:rPr>
        <w:t xml:space="preserve"> e ICOT-PNT.</w:t>
      </w:r>
    </w:p>
    <w:p w:rsidR="001F7251" w:rsidRPr="003B1FCE" w:rsidRDefault="001F7251" w:rsidP="001F7251">
      <w:pPr>
        <w:spacing w:before="100" w:beforeAutospacing="1" w:after="100" w:afterAutospacing="1" w:line="360" w:lineRule="auto"/>
        <w:contextualSpacing/>
        <w:jc w:val="both"/>
        <w:rPr>
          <w:rFonts w:ascii="Arial" w:hAnsi="Arial" w:cs="Arial"/>
          <w:color w:val="000000"/>
          <w:sz w:val="16"/>
          <w:szCs w:val="16"/>
        </w:rPr>
      </w:pPr>
      <w:r w:rsidRPr="003B1FCE">
        <w:rPr>
          <w:rFonts w:ascii="Arial" w:hAnsi="Arial" w:cs="Arial"/>
          <w:b/>
          <w:bCs/>
          <w:color w:val="000000"/>
          <w:sz w:val="16"/>
          <w:szCs w:val="16"/>
        </w:rPr>
        <w:t>%</w:t>
      </w:r>
      <w:proofErr w:type="spellStart"/>
      <w:r w:rsidRPr="003B1FCE">
        <w:rPr>
          <w:rFonts w:ascii="Arial" w:hAnsi="Arial" w:cs="Arial"/>
          <w:b/>
          <w:bCs/>
          <w:color w:val="000000"/>
          <w:sz w:val="16"/>
          <w:szCs w:val="16"/>
        </w:rPr>
        <w:t>Inf</w:t>
      </w:r>
      <w:proofErr w:type="spellEnd"/>
      <w:r w:rsidRPr="003B1FCE">
        <w:rPr>
          <w:rFonts w:ascii="Arial" w:hAnsi="Arial" w:cs="Arial"/>
          <w:b/>
          <w:bCs/>
          <w:color w:val="000000"/>
          <w:sz w:val="16"/>
          <w:szCs w:val="16"/>
        </w:rPr>
        <w:t xml:space="preserve"> P</w:t>
      </w:r>
      <w:r w:rsidR="00677E37" w:rsidRPr="003B1FCE">
        <w:rPr>
          <w:rFonts w:ascii="Arial" w:hAnsi="Arial" w:cs="Arial"/>
          <w:b/>
          <w:bCs/>
          <w:color w:val="000000"/>
          <w:sz w:val="16"/>
          <w:szCs w:val="16"/>
        </w:rPr>
        <w:t>I</w:t>
      </w:r>
      <w:r w:rsidRPr="003B1FCE">
        <w:rPr>
          <w:rFonts w:ascii="Arial" w:hAnsi="Arial" w:cs="Arial"/>
          <w:b/>
          <w:bCs/>
          <w:color w:val="000000"/>
          <w:sz w:val="16"/>
          <w:szCs w:val="16"/>
        </w:rPr>
        <w:t>:</w:t>
      </w:r>
      <w:r w:rsidRPr="003B1FCE">
        <w:rPr>
          <w:rFonts w:ascii="Arial" w:hAnsi="Arial" w:cs="Arial"/>
          <w:color w:val="000000"/>
          <w:sz w:val="16"/>
          <w:szCs w:val="16"/>
        </w:rPr>
        <w:t xml:space="preserve"> corresponde al porcentaje del índice que hace referencia a la información que se encuentra publicada y actualizada en el Portal de Internet (PI) del sujeto obligado. </w:t>
      </w:r>
    </w:p>
    <w:p w:rsidR="001F7251" w:rsidRPr="003B1FCE" w:rsidRDefault="001F7251" w:rsidP="001F7251">
      <w:pPr>
        <w:spacing w:before="100" w:beforeAutospacing="1" w:after="100" w:afterAutospacing="1" w:line="360" w:lineRule="auto"/>
        <w:contextualSpacing/>
        <w:jc w:val="both"/>
        <w:rPr>
          <w:rFonts w:ascii="Arial" w:hAnsi="Arial" w:cs="Arial"/>
          <w:color w:val="000000"/>
          <w:sz w:val="16"/>
          <w:szCs w:val="16"/>
        </w:rPr>
      </w:pPr>
      <w:r w:rsidRPr="003B1FCE">
        <w:rPr>
          <w:rFonts w:ascii="Arial" w:hAnsi="Arial" w:cs="Arial"/>
          <w:b/>
          <w:bCs/>
          <w:color w:val="000000"/>
          <w:sz w:val="16"/>
          <w:szCs w:val="16"/>
        </w:rPr>
        <w:t>%</w:t>
      </w:r>
      <w:proofErr w:type="spellStart"/>
      <w:r w:rsidRPr="003B1FCE">
        <w:rPr>
          <w:rFonts w:ascii="Arial" w:hAnsi="Arial" w:cs="Arial"/>
          <w:b/>
          <w:bCs/>
          <w:color w:val="000000"/>
          <w:sz w:val="16"/>
          <w:szCs w:val="16"/>
        </w:rPr>
        <w:t>Inf</w:t>
      </w:r>
      <w:proofErr w:type="spellEnd"/>
      <w:r w:rsidRPr="003B1FCE">
        <w:rPr>
          <w:rFonts w:ascii="Arial" w:hAnsi="Arial" w:cs="Arial"/>
          <w:b/>
          <w:bCs/>
          <w:color w:val="000000"/>
          <w:sz w:val="16"/>
          <w:szCs w:val="16"/>
        </w:rPr>
        <w:t xml:space="preserve"> PNT:</w:t>
      </w:r>
      <w:r w:rsidRPr="003B1FCE">
        <w:rPr>
          <w:rFonts w:ascii="Arial" w:hAnsi="Arial" w:cs="Arial"/>
          <w:color w:val="000000"/>
          <w:sz w:val="16"/>
          <w:szCs w:val="16"/>
        </w:rPr>
        <w:t xml:space="preserve"> corresponde al porcentaje del índice que hace referencia a la información que se encuentra publicada y actualizada en la Plataforma Nacional de Transparencia (PNT) del sujeto obligado.</w:t>
      </w:r>
    </w:p>
    <w:p w:rsidR="007E533F" w:rsidRPr="003B1FCE" w:rsidRDefault="001F7251" w:rsidP="007E533F">
      <w:pPr>
        <w:spacing w:before="100" w:beforeAutospacing="1" w:after="100" w:afterAutospacing="1" w:line="360" w:lineRule="auto"/>
        <w:contextualSpacing/>
        <w:jc w:val="both"/>
        <w:rPr>
          <w:rFonts w:ascii="Arial" w:hAnsi="Arial" w:cs="Arial"/>
          <w:color w:val="000000"/>
          <w:sz w:val="16"/>
          <w:szCs w:val="16"/>
        </w:rPr>
      </w:pPr>
      <w:r w:rsidRPr="003B1FCE">
        <w:rPr>
          <w:rFonts w:ascii="Arial" w:hAnsi="Arial" w:cs="Arial"/>
          <w:b/>
          <w:bCs/>
          <w:color w:val="000000"/>
          <w:sz w:val="16"/>
          <w:szCs w:val="16"/>
        </w:rPr>
        <w:t>%</w:t>
      </w:r>
      <w:proofErr w:type="spellStart"/>
      <w:r w:rsidRPr="003B1FCE">
        <w:rPr>
          <w:rFonts w:ascii="Arial" w:hAnsi="Arial" w:cs="Arial"/>
          <w:b/>
          <w:bCs/>
          <w:color w:val="000000"/>
          <w:sz w:val="16"/>
          <w:szCs w:val="16"/>
        </w:rPr>
        <w:t>Inf</w:t>
      </w:r>
      <w:proofErr w:type="spellEnd"/>
      <w:r w:rsidRPr="003B1FCE">
        <w:rPr>
          <w:rFonts w:ascii="Arial" w:hAnsi="Arial" w:cs="Arial"/>
          <w:b/>
          <w:bCs/>
          <w:color w:val="000000"/>
          <w:sz w:val="16"/>
          <w:szCs w:val="16"/>
        </w:rPr>
        <w:t xml:space="preserve"> IGOT: </w:t>
      </w:r>
      <w:r w:rsidRPr="003B1FCE">
        <w:rPr>
          <w:rFonts w:ascii="Arial" w:hAnsi="Arial" w:cs="Arial"/>
          <w:color w:val="000000"/>
          <w:sz w:val="16"/>
          <w:szCs w:val="16"/>
        </w:rPr>
        <w:t>corresponde al porcentaje del índice que hace referencia a la información que se encuentra publicada y actualizada tanto en la PNT y el PI del sujeto obligado.</w:t>
      </w:r>
    </w:p>
    <w:p w:rsidR="007E533F" w:rsidRPr="003B1FCE" w:rsidRDefault="007E533F" w:rsidP="007E533F">
      <w:pPr>
        <w:spacing w:before="100" w:beforeAutospacing="1" w:after="100" w:afterAutospacing="1" w:line="360" w:lineRule="auto"/>
        <w:contextualSpacing/>
        <w:jc w:val="both"/>
        <w:rPr>
          <w:rFonts w:ascii="Arial" w:hAnsi="Arial" w:cs="Arial"/>
          <w:color w:val="000000"/>
        </w:rPr>
      </w:pPr>
    </w:p>
    <w:p w:rsidR="007E533F" w:rsidRPr="003B1FCE" w:rsidRDefault="007E533F" w:rsidP="007E533F">
      <w:pPr>
        <w:spacing w:before="100" w:beforeAutospacing="1" w:after="100" w:afterAutospacing="1" w:line="360" w:lineRule="auto"/>
        <w:contextualSpacing/>
        <w:jc w:val="both"/>
        <w:rPr>
          <w:rFonts w:ascii="Arial" w:hAnsi="Arial" w:cs="Arial"/>
          <w:color w:val="000000"/>
        </w:rPr>
      </w:pPr>
      <w:r w:rsidRPr="003B1FCE">
        <w:rPr>
          <w:rFonts w:ascii="Arial" w:hAnsi="Arial" w:cs="Arial"/>
        </w:rPr>
        <w:t>En atención a la Tabla de Aplicabilidad realizada por la DEAEE del Instituto, las obligaciones que los</w:t>
      </w:r>
      <w:r w:rsidR="00E55AB5" w:rsidRPr="003B1FCE">
        <w:rPr>
          <w:rFonts w:ascii="Arial" w:hAnsi="Arial" w:cs="Arial"/>
        </w:rPr>
        <w:t xml:space="preserve"> Partidos Políticos </w:t>
      </w:r>
      <w:r w:rsidRPr="003B1FCE">
        <w:rPr>
          <w:rFonts w:ascii="Arial" w:hAnsi="Arial" w:cs="Arial"/>
        </w:rPr>
        <w:t xml:space="preserve">deben actualizar y publicar en el SIPOT de la PNT, así como en sus respectivos portales de internet son las contempladas en los siguientes artículos: </w:t>
      </w:r>
    </w:p>
    <w:p w:rsidR="007E533F" w:rsidRPr="003B1FCE" w:rsidRDefault="001F7251" w:rsidP="00FF7BD9">
      <w:pPr>
        <w:pStyle w:val="Prrafodelista"/>
        <w:numPr>
          <w:ilvl w:val="0"/>
          <w:numId w:val="15"/>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121. Obligaciones comunes, </w:t>
      </w:r>
    </w:p>
    <w:p w:rsidR="007E533F" w:rsidRPr="003B1FCE" w:rsidRDefault="001F7251" w:rsidP="00FF7BD9">
      <w:pPr>
        <w:pStyle w:val="Prrafodelista"/>
        <w:numPr>
          <w:ilvl w:val="0"/>
          <w:numId w:val="15"/>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Artículo 129. Obligaciones específicas de los Partidos Políticos,</w:t>
      </w:r>
    </w:p>
    <w:p w:rsidR="007E533F" w:rsidRPr="003B1FCE" w:rsidRDefault="001F7251" w:rsidP="00FF7BD9">
      <w:pPr>
        <w:pStyle w:val="Prrafodelista"/>
        <w:numPr>
          <w:ilvl w:val="0"/>
          <w:numId w:val="15"/>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145. Disposiciones Particulares, </w:t>
      </w:r>
    </w:p>
    <w:p w:rsidR="001F7251" w:rsidRPr="003B1FCE" w:rsidRDefault="001F7251" w:rsidP="00FF7BD9">
      <w:pPr>
        <w:pStyle w:val="Prrafodelista"/>
        <w:numPr>
          <w:ilvl w:val="0"/>
          <w:numId w:val="15"/>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Artículo 146. Disposiciones Particulares</w:t>
      </w:r>
      <w:r w:rsidR="00107609" w:rsidRPr="003B1FCE">
        <w:rPr>
          <w:rFonts w:ascii="Arial" w:hAnsi="Arial" w:cs="Arial"/>
          <w:sz w:val="24"/>
          <w:szCs w:val="24"/>
        </w:rPr>
        <w:t xml:space="preserve">, </w:t>
      </w:r>
    </w:p>
    <w:p w:rsidR="00107609" w:rsidRPr="003B1FCE" w:rsidRDefault="00107609" w:rsidP="00FF7BD9">
      <w:pPr>
        <w:pStyle w:val="Prrafodelista"/>
        <w:numPr>
          <w:ilvl w:val="0"/>
          <w:numId w:val="15"/>
        </w:numPr>
        <w:spacing w:before="100" w:beforeAutospacing="1" w:after="100" w:afterAutospacing="1" w:line="360" w:lineRule="auto"/>
        <w:ind w:left="851"/>
        <w:jc w:val="both"/>
        <w:rPr>
          <w:rFonts w:ascii="Arial" w:hAnsi="Arial" w:cs="Arial"/>
          <w:sz w:val="24"/>
          <w:szCs w:val="24"/>
        </w:rPr>
      </w:pPr>
      <w:r w:rsidRPr="003B1FCE">
        <w:rPr>
          <w:rFonts w:ascii="Arial" w:hAnsi="Arial" w:cs="Arial"/>
          <w:sz w:val="24"/>
          <w:szCs w:val="24"/>
        </w:rPr>
        <w:t xml:space="preserve">Artículo 147. Disposiciones Particulares. </w:t>
      </w:r>
    </w:p>
    <w:p w:rsidR="001F7251" w:rsidRPr="003B1FCE" w:rsidRDefault="001F7251" w:rsidP="00FF7BD9">
      <w:pPr>
        <w:pStyle w:val="Ttulo2"/>
        <w:contextualSpacing/>
        <w:jc w:val="both"/>
        <w:rPr>
          <w:rFonts w:ascii="Arial" w:hAnsi="Arial" w:cs="Arial"/>
          <w:b/>
          <w:color w:val="auto"/>
          <w:sz w:val="24"/>
          <w:szCs w:val="24"/>
        </w:rPr>
      </w:pPr>
      <w:bookmarkStart w:id="26" w:name="_Toc26913265"/>
      <w:r w:rsidRPr="003B1FCE">
        <w:rPr>
          <w:rFonts w:ascii="Arial" w:hAnsi="Arial" w:cs="Arial"/>
          <w:b/>
          <w:color w:val="auto"/>
          <w:sz w:val="24"/>
          <w:szCs w:val="24"/>
        </w:rPr>
        <w:t xml:space="preserve">Análisis global de cumplimiento de los </w:t>
      </w:r>
      <w:r w:rsidR="00107609" w:rsidRPr="003B1FCE">
        <w:rPr>
          <w:rFonts w:ascii="Arial" w:hAnsi="Arial" w:cs="Arial"/>
          <w:b/>
          <w:color w:val="auto"/>
          <w:sz w:val="24"/>
          <w:szCs w:val="24"/>
        </w:rPr>
        <w:t>Partidos Políticos</w:t>
      </w:r>
      <w:bookmarkEnd w:id="26"/>
    </w:p>
    <w:p w:rsidR="001F7251" w:rsidRPr="003B1FCE" w:rsidRDefault="001F7251" w:rsidP="001F7251">
      <w:pPr>
        <w:rPr>
          <w:rFonts w:ascii="Arial" w:hAnsi="Arial" w:cs="Arial"/>
        </w:rPr>
      </w:pPr>
    </w:p>
    <w:p w:rsidR="001F7251" w:rsidRPr="003B1FCE" w:rsidRDefault="001F7251" w:rsidP="001F7251">
      <w:pPr>
        <w:spacing w:before="100" w:beforeAutospacing="1" w:after="100" w:afterAutospacing="1" w:line="360" w:lineRule="auto"/>
        <w:contextualSpacing/>
        <w:jc w:val="both"/>
        <w:rPr>
          <w:rFonts w:ascii="Arial" w:hAnsi="Arial" w:cs="Arial"/>
          <w:u w:val="single"/>
        </w:rPr>
      </w:pPr>
      <w:r w:rsidRPr="003B1FCE">
        <w:rPr>
          <w:rFonts w:ascii="Arial" w:hAnsi="Arial" w:cs="Arial"/>
          <w:u w:val="single"/>
        </w:rPr>
        <w:t>Índices Globales de Cumplimiento de las obligaciones de transparencia</w:t>
      </w:r>
    </w:p>
    <w:p w:rsidR="00107609" w:rsidRPr="003B1FCE" w:rsidRDefault="00107609" w:rsidP="001F7251">
      <w:pPr>
        <w:spacing w:before="100" w:beforeAutospacing="1" w:after="100" w:afterAutospacing="1" w:line="360" w:lineRule="auto"/>
        <w:contextualSpacing/>
        <w:jc w:val="both"/>
        <w:rPr>
          <w:rFonts w:ascii="Arial" w:hAnsi="Arial" w:cs="Arial"/>
        </w:rPr>
      </w:pPr>
    </w:p>
    <w:p w:rsidR="00107609" w:rsidRPr="003B1FCE" w:rsidRDefault="00107609" w:rsidP="001F7251">
      <w:pPr>
        <w:spacing w:before="100" w:beforeAutospacing="1" w:after="100" w:afterAutospacing="1" w:line="360" w:lineRule="auto"/>
        <w:contextualSpacing/>
        <w:jc w:val="both"/>
        <w:rPr>
          <w:rFonts w:ascii="Arial" w:hAnsi="Arial" w:cs="Arial"/>
        </w:rPr>
      </w:pPr>
      <w:r w:rsidRPr="003B1FCE">
        <w:rPr>
          <w:rFonts w:ascii="Arial" w:hAnsi="Arial" w:cs="Arial"/>
        </w:rPr>
        <w:lastRenderedPageBreak/>
        <w:t xml:space="preserve">El ámbito de los Partidos Políticos obtuvo un IGOT de </w:t>
      </w:r>
      <w:r w:rsidR="00356F3F" w:rsidRPr="00BB29B8">
        <w:rPr>
          <w:rFonts w:ascii="Arial" w:hAnsi="Arial" w:cs="Arial"/>
          <w:highlight w:val="yellow"/>
        </w:rPr>
        <w:t>60.90</w:t>
      </w:r>
      <w:r w:rsidRPr="00BB29B8">
        <w:rPr>
          <w:rFonts w:ascii="Arial" w:hAnsi="Arial" w:cs="Arial"/>
          <w:highlight w:val="yellow"/>
        </w:rPr>
        <w:t xml:space="preserve">%, </w:t>
      </w:r>
      <w:r w:rsidRPr="003B1FCE">
        <w:rPr>
          <w:rFonts w:ascii="Arial" w:hAnsi="Arial" w:cs="Arial"/>
        </w:rPr>
        <w:t xml:space="preserve">el cual está compuesto por un índice de </w:t>
      </w:r>
      <w:r w:rsidRPr="00BB29B8">
        <w:rPr>
          <w:rFonts w:ascii="Arial" w:hAnsi="Arial" w:cs="Arial"/>
          <w:highlight w:val="yellow"/>
        </w:rPr>
        <w:t>62.</w:t>
      </w:r>
      <w:r w:rsidR="00356F3F" w:rsidRPr="00BB29B8">
        <w:rPr>
          <w:rFonts w:ascii="Arial" w:hAnsi="Arial" w:cs="Arial"/>
          <w:highlight w:val="yellow"/>
        </w:rPr>
        <w:t>97</w:t>
      </w:r>
      <w:r w:rsidRPr="003B1FCE">
        <w:rPr>
          <w:rFonts w:ascii="Arial" w:hAnsi="Arial" w:cs="Arial"/>
        </w:rPr>
        <w:t xml:space="preserve">% en lo que corresponde a la Plataforma Nacional de Transparencia (PNT) y un índice de </w:t>
      </w:r>
      <w:r w:rsidR="00356F3F" w:rsidRPr="00BB29B8">
        <w:rPr>
          <w:rFonts w:ascii="Arial" w:hAnsi="Arial" w:cs="Arial"/>
          <w:highlight w:val="yellow"/>
        </w:rPr>
        <w:t>58.82</w:t>
      </w:r>
      <w:r w:rsidRPr="00BB29B8">
        <w:rPr>
          <w:rFonts w:ascii="Arial" w:hAnsi="Arial" w:cs="Arial"/>
          <w:highlight w:val="yellow"/>
        </w:rPr>
        <w:t xml:space="preserve">% </w:t>
      </w:r>
      <w:r w:rsidRPr="003B1FCE">
        <w:rPr>
          <w:rFonts w:ascii="Arial" w:hAnsi="Arial" w:cs="Arial"/>
        </w:rPr>
        <w:t>en lo que se refiere al Portal de Transparencia (</w:t>
      </w:r>
      <w:r w:rsidR="00677E37" w:rsidRPr="003B1FCE">
        <w:rPr>
          <w:rFonts w:ascii="Arial" w:hAnsi="Arial" w:cs="Arial"/>
        </w:rPr>
        <w:t>PI</w:t>
      </w:r>
      <w:r w:rsidRPr="003B1FCE">
        <w:rPr>
          <w:rFonts w:ascii="Arial" w:hAnsi="Arial" w:cs="Arial"/>
        </w:rPr>
        <w:t>).</w:t>
      </w:r>
    </w:p>
    <w:p w:rsidR="001F7251" w:rsidRPr="003B1FCE" w:rsidRDefault="001F7251" w:rsidP="001F7251">
      <w:pPr>
        <w:spacing w:before="100" w:beforeAutospacing="1" w:after="100" w:afterAutospacing="1" w:line="360" w:lineRule="auto"/>
        <w:contextualSpacing/>
        <w:jc w:val="both"/>
        <w:rPr>
          <w:rFonts w:ascii="Arial" w:hAnsi="Arial" w:cs="Arial"/>
        </w:rPr>
      </w:pPr>
    </w:p>
    <w:p w:rsidR="00CF7AC7" w:rsidRPr="003B1FCE" w:rsidRDefault="00CF7AC7" w:rsidP="001F7251">
      <w:pPr>
        <w:spacing w:before="100" w:beforeAutospacing="1" w:after="100" w:afterAutospacing="1" w:line="360" w:lineRule="auto"/>
        <w:contextualSpacing/>
        <w:jc w:val="both"/>
        <w:rPr>
          <w:rFonts w:ascii="Arial" w:hAnsi="Arial" w:cs="Arial"/>
        </w:rPr>
      </w:pPr>
      <w:r w:rsidRPr="003B1FCE">
        <w:rPr>
          <w:rFonts w:ascii="Arial" w:hAnsi="Arial" w:cs="Arial"/>
        </w:rPr>
        <w:t>Dos partidos se encuentran ubicados en un cumplimiento total de las obligaciones de transparencia</w:t>
      </w:r>
      <w:r w:rsidR="00356F3F">
        <w:rPr>
          <w:rFonts w:ascii="Arial" w:hAnsi="Arial" w:cs="Arial"/>
        </w:rPr>
        <w:t>, uno en un cumplimiento parcial con un índice de 87.14%</w:t>
      </w:r>
      <w:r w:rsidRPr="003B1FCE">
        <w:rPr>
          <w:rFonts w:ascii="Arial" w:hAnsi="Arial" w:cs="Arial"/>
        </w:rPr>
        <w:t xml:space="preserve"> y seis se encuentran ubicados en un incumplimiento parcial con un índice entre 21.09% y 56.62%. </w:t>
      </w:r>
    </w:p>
    <w:p w:rsidR="001F7251" w:rsidRPr="003B1FCE" w:rsidRDefault="001F7251" w:rsidP="001F7251">
      <w:pPr>
        <w:spacing w:before="100" w:beforeAutospacing="1" w:after="100" w:afterAutospacing="1" w:line="360" w:lineRule="auto"/>
        <w:contextualSpacing/>
        <w:jc w:val="both"/>
        <w:rPr>
          <w:rFonts w:ascii="Arial" w:hAnsi="Arial" w:cs="Arial"/>
        </w:rPr>
      </w:pPr>
    </w:p>
    <w:p w:rsidR="001F7251" w:rsidRPr="003B1FCE" w:rsidRDefault="001F7251" w:rsidP="001F7251">
      <w:pPr>
        <w:spacing w:before="100" w:beforeAutospacing="1" w:after="100" w:afterAutospacing="1" w:line="360" w:lineRule="auto"/>
        <w:contextualSpacing/>
        <w:jc w:val="both"/>
        <w:rPr>
          <w:rFonts w:ascii="Arial" w:hAnsi="Arial" w:cs="Arial"/>
        </w:rPr>
      </w:pPr>
      <w:r w:rsidRPr="003B1FCE">
        <w:rPr>
          <w:rFonts w:ascii="Arial" w:hAnsi="Arial" w:cs="Arial"/>
        </w:rPr>
        <w:t xml:space="preserve">Con relación a la Primera Evaluación Vinculante 2019, este ámbito </w:t>
      </w:r>
      <w:r w:rsidR="00CF7AC7" w:rsidRPr="003B1FCE">
        <w:rPr>
          <w:rFonts w:ascii="Arial" w:hAnsi="Arial" w:cs="Arial"/>
        </w:rPr>
        <w:t xml:space="preserve">tuvo </w:t>
      </w:r>
      <w:r w:rsidR="002132FC" w:rsidRPr="003B1FCE">
        <w:rPr>
          <w:rFonts w:ascii="Arial" w:hAnsi="Arial" w:cs="Arial"/>
        </w:rPr>
        <w:t>un decremento</w:t>
      </w:r>
      <w:r w:rsidRPr="003B1FCE">
        <w:rPr>
          <w:rFonts w:ascii="Arial" w:hAnsi="Arial" w:cs="Arial"/>
        </w:rPr>
        <w:t xml:space="preserve">, puesto que pasó de tener un IGOT de </w:t>
      </w:r>
      <w:r w:rsidR="00CF7AC7" w:rsidRPr="00BB29B8">
        <w:rPr>
          <w:rFonts w:ascii="Arial" w:hAnsi="Arial" w:cs="Arial"/>
          <w:highlight w:val="yellow"/>
        </w:rPr>
        <w:t>64.89</w:t>
      </w:r>
      <w:r w:rsidRPr="00BB29B8">
        <w:rPr>
          <w:rFonts w:ascii="Arial" w:hAnsi="Arial" w:cs="Arial"/>
          <w:highlight w:val="yellow"/>
        </w:rPr>
        <w:t xml:space="preserve">% a uno de </w:t>
      </w:r>
      <w:r w:rsidR="001D07E6" w:rsidRPr="00BB29B8">
        <w:rPr>
          <w:rFonts w:ascii="Arial" w:hAnsi="Arial" w:cs="Arial"/>
          <w:highlight w:val="yellow"/>
        </w:rPr>
        <w:t>60.90</w:t>
      </w:r>
      <w:r w:rsidRPr="00BB29B8">
        <w:rPr>
          <w:rFonts w:ascii="Arial" w:hAnsi="Arial" w:cs="Arial"/>
          <w:highlight w:val="yellow"/>
        </w:rPr>
        <w:t>%;</w:t>
      </w:r>
      <w:r w:rsidRPr="003B1FCE">
        <w:rPr>
          <w:rFonts w:ascii="Arial" w:hAnsi="Arial" w:cs="Arial"/>
        </w:rPr>
        <w:t xml:space="preserve"> </w:t>
      </w:r>
      <w:r w:rsidR="001D07E6">
        <w:rPr>
          <w:rFonts w:ascii="Arial" w:hAnsi="Arial" w:cs="Arial"/>
        </w:rPr>
        <w:t>continuando con un cumplimiento parcial</w:t>
      </w:r>
      <w:r w:rsidRPr="003B1FCE">
        <w:rPr>
          <w:rFonts w:ascii="Arial" w:hAnsi="Arial" w:cs="Arial"/>
        </w:rPr>
        <w:t xml:space="preserve"> de las obligaciones de transparencia de la Ley de Transparencia Local. </w:t>
      </w:r>
      <w:r w:rsidR="00CF7AC7" w:rsidRPr="003B1FCE">
        <w:rPr>
          <w:rFonts w:ascii="Arial" w:hAnsi="Arial" w:cs="Arial"/>
        </w:rPr>
        <w:t xml:space="preserve">Este ámbito tuvo un </w:t>
      </w:r>
      <w:r w:rsidR="002132FC" w:rsidRPr="003B1FCE">
        <w:rPr>
          <w:rFonts w:ascii="Arial" w:hAnsi="Arial" w:cs="Arial"/>
        </w:rPr>
        <w:t>decremento</w:t>
      </w:r>
      <w:r w:rsidR="00CF7AC7" w:rsidRPr="003B1FCE">
        <w:rPr>
          <w:rFonts w:ascii="Arial" w:hAnsi="Arial" w:cs="Arial"/>
        </w:rPr>
        <w:t xml:space="preserve"> </w:t>
      </w:r>
      <w:r w:rsidR="00CF7AC7" w:rsidRPr="00BB29B8">
        <w:rPr>
          <w:rFonts w:ascii="Arial" w:hAnsi="Arial" w:cs="Arial"/>
          <w:highlight w:val="yellow"/>
        </w:rPr>
        <w:t xml:space="preserve">de </w:t>
      </w:r>
      <w:r w:rsidR="001D07E6" w:rsidRPr="00BB29B8">
        <w:rPr>
          <w:rFonts w:ascii="Arial" w:hAnsi="Arial" w:cs="Arial"/>
          <w:highlight w:val="yellow"/>
        </w:rPr>
        <w:t>3.99</w:t>
      </w:r>
      <w:r w:rsidR="00CF7AC7" w:rsidRPr="00BB29B8">
        <w:rPr>
          <w:rFonts w:ascii="Arial" w:hAnsi="Arial" w:cs="Arial"/>
          <w:highlight w:val="yellow"/>
        </w:rPr>
        <w:t>%</w:t>
      </w:r>
      <w:r w:rsidR="00CF7AC7" w:rsidRPr="003B1FCE">
        <w:rPr>
          <w:rFonts w:ascii="Arial" w:hAnsi="Arial" w:cs="Arial"/>
        </w:rPr>
        <w:t xml:space="preserve"> dentro de su índice. </w:t>
      </w:r>
    </w:p>
    <w:p w:rsidR="001F7251" w:rsidRPr="003B1FCE" w:rsidRDefault="001F7251" w:rsidP="001F7251">
      <w:pPr>
        <w:spacing w:before="100" w:beforeAutospacing="1" w:after="100" w:afterAutospacing="1" w:line="360" w:lineRule="auto"/>
        <w:contextualSpacing/>
        <w:jc w:val="both"/>
        <w:rPr>
          <w:rFonts w:ascii="Arial" w:hAnsi="Arial" w:cs="Arial"/>
        </w:rPr>
      </w:pPr>
    </w:p>
    <w:p w:rsidR="001F7251" w:rsidRPr="003B1FCE" w:rsidRDefault="001F7251" w:rsidP="001F7251">
      <w:pPr>
        <w:spacing w:before="100" w:beforeAutospacing="1" w:after="100" w:afterAutospacing="1" w:line="360" w:lineRule="auto"/>
        <w:contextualSpacing/>
        <w:jc w:val="both"/>
        <w:rPr>
          <w:rFonts w:ascii="Arial" w:hAnsi="Arial" w:cs="Arial"/>
          <w:u w:val="single"/>
        </w:rPr>
      </w:pPr>
      <w:r w:rsidRPr="003B1FCE">
        <w:rPr>
          <w:rFonts w:ascii="Arial" w:hAnsi="Arial" w:cs="Arial"/>
          <w:u w:val="single"/>
        </w:rPr>
        <w:t xml:space="preserve">Cumplimiento diferenciado por artículos </w:t>
      </w:r>
    </w:p>
    <w:p w:rsidR="001F7251" w:rsidRPr="003B1FCE" w:rsidRDefault="001F7251" w:rsidP="001F7251">
      <w:pPr>
        <w:spacing w:before="100" w:beforeAutospacing="1" w:after="100" w:afterAutospacing="1" w:line="360" w:lineRule="auto"/>
        <w:contextualSpacing/>
        <w:jc w:val="both"/>
        <w:rPr>
          <w:rFonts w:ascii="Arial" w:hAnsi="Arial" w:cs="Arial"/>
          <w:u w:val="single"/>
        </w:rPr>
      </w:pPr>
    </w:p>
    <w:p w:rsidR="001F7251" w:rsidRPr="003B1FCE" w:rsidRDefault="001F7251" w:rsidP="001F7251">
      <w:pPr>
        <w:spacing w:before="100" w:beforeAutospacing="1" w:after="100" w:afterAutospacing="1" w:line="360" w:lineRule="auto"/>
        <w:contextualSpacing/>
        <w:jc w:val="both"/>
        <w:rPr>
          <w:rFonts w:ascii="Arial" w:hAnsi="Arial" w:cs="Arial"/>
        </w:rPr>
      </w:pPr>
      <w:r w:rsidRPr="003B1FCE">
        <w:rPr>
          <w:rFonts w:ascii="Arial" w:hAnsi="Arial" w:cs="Arial"/>
        </w:rPr>
        <w:t>Con relación al tipo de obligaciones de transparencia, este ámbito ha</w:t>
      </w:r>
      <w:r w:rsidR="00CF7AC7" w:rsidRPr="003B1FCE">
        <w:rPr>
          <w:rFonts w:ascii="Arial" w:hAnsi="Arial" w:cs="Arial"/>
        </w:rPr>
        <w:t xml:space="preserve"> cumplido parcialmente con las disposiciones particulares, obteniendo un Índice de Cumplimiento Promedio de (ICP) </w:t>
      </w:r>
      <w:r w:rsidR="00CF7AC7" w:rsidRPr="00BB29B8">
        <w:rPr>
          <w:rFonts w:ascii="Arial" w:hAnsi="Arial" w:cs="Arial"/>
          <w:highlight w:val="yellow"/>
        </w:rPr>
        <w:t xml:space="preserve">de </w:t>
      </w:r>
      <w:r w:rsidR="001D07E6" w:rsidRPr="00BB29B8">
        <w:rPr>
          <w:rFonts w:ascii="Arial" w:hAnsi="Arial" w:cs="Arial"/>
          <w:highlight w:val="yellow"/>
        </w:rPr>
        <w:t>75</w:t>
      </w:r>
      <w:r w:rsidR="00CF7AC7" w:rsidRPr="00BB29B8">
        <w:rPr>
          <w:rFonts w:ascii="Arial" w:hAnsi="Arial" w:cs="Arial"/>
          <w:highlight w:val="yellow"/>
        </w:rPr>
        <w:t>%</w:t>
      </w:r>
      <w:r w:rsidR="00E2708E" w:rsidRPr="00BB29B8">
        <w:rPr>
          <w:rFonts w:ascii="Arial" w:hAnsi="Arial" w:cs="Arial"/>
          <w:highlight w:val="yellow"/>
        </w:rPr>
        <w:t xml:space="preserve">, </w:t>
      </w:r>
      <w:r w:rsidR="00E2708E" w:rsidRPr="003B1FCE">
        <w:rPr>
          <w:rFonts w:ascii="Arial" w:hAnsi="Arial" w:cs="Arial"/>
        </w:rPr>
        <w:t>e</w:t>
      </w:r>
      <w:r w:rsidRPr="003B1FCE">
        <w:rPr>
          <w:rFonts w:ascii="Arial" w:hAnsi="Arial" w:cs="Arial"/>
        </w:rPr>
        <w:t xml:space="preserve"> incumplido parcialmente en sus obligaciones comunes</w:t>
      </w:r>
      <w:r w:rsidR="00E2708E" w:rsidRPr="003B1FCE">
        <w:rPr>
          <w:rFonts w:ascii="Arial" w:hAnsi="Arial" w:cs="Arial"/>
        </w:rPr>
        <w:t xml:space="preserve"> y </w:t>
      </w:r>
      <w:r w:rsidRPr="003B1FCE">
        <w:rPr>
          <w:rFonts w:ascii="Arial" w:hAnsi="Arial" w:cs="Arial"/>
        </w:rPr>
        <w:t>específicas</w:t>
      </w:r>
      <w:r w:rsidR="00E2708E" w:rsidRPr="003B1FCE">
        <w:rPr>
          <w:rFonts w:ascii="Arial" w:hAnsi="Arial" w:cs="Arial"/>
        </w:rPr>
        <w:t xml:space="preserve">, </w:t>
      </w:r>
      <w:r w:rsidRPr="003B1FCE">
        <w:rPr>
          <w:rFonts w:ascii="Arial" w:hAnsi="Arial" w:cs="Arial"/>
        </w:rPr>
        <w:t xml:space="preserve">obteniendo un </w:t>
      </w:r>
      <w:r w:rsidR="00E2708E" w:rsidRPr="003B1FCE">
        <w:rPr>
          <w:rFonts w:ascii="Arial" w:hAnsi="Arial" w:cs="Arial"/>
        </w:rPr>
        <w:t>ICP</w:t>
      </w:r>
      <w:r w:rsidRPr="003B1FCE">
        <w:rPr>
          <w:rFonts w:ascii="Arial" w:hAnsi="Arial" w:cs="Arial"/>
        </w:rPr>
        <w:t xml:space="preserve"> de </w:t>
      </w:r>
      <w:r w:rsidR="001D07E6" w:rsidRPr="00BB29B8">
        <w:rPr>
          <w:rFonts w:ascii="Arial" w:hAnsi="Arial" w:cs="Arial"/>
          <w:highlight w:val="yellow"/>
        </w:rPr>
        <w:t>58.06</w:t>
      </w:r>
      <w:r w:rsidR="00E2708E" w:rsidRPr="00BB29B8">
        <w:rPr>
          <w:rFonts w:ascii="Arial" w:hAnsi="Arial" w:cs="Arial"/>
          <w:highlight w:val="yellow"/>
        </w:rPr>
        <w:t xml:space="preserve">% y </w:t>
      </w:r>
      <w:r w:rsidR="001D07E6" w:rsidRPr="00BB29B8">
        <w:rPr>
          <w:rFonts w:ascii="Arial" w:hAnsi="Arial" w:cs="Arial"/>
          <w:highlight w:val="yellow"/>
        </w:rPr>
        <w:t>49.05</w:t>
      </w:r>
      <w:r w:rsidR="00E2708E" w:rsidRPr="003B1FCE">
        <w:rPr>
          <w:rFonts w:ascii="Arial" w:hAnsi="Arial" w:cs="Arial"/>
        </w:rPr>
        <w:t xml:space="preserve">%, respectivamente. </w:t>
      </w:r>
    </w:p>
    <w:p w:rsidR="001F7251" w:rsidRPr="003B1FCE" w:rsidRDefault="001F7251" w:rsidP="001F7251">
      <w:pPr>
        <w:spacing w:before="100" w:beforeAutospacing="1" w:after="100" w:afterAutospacing="1" w:line="360" w:lineRule="auto"/>
        <w:contextualSpacing/>
        <w:jc w:val="both"/>
        <w:rPr>
          <w:rFonts w:ascii="Arial" w:hAnsi="Arial" w:cs="Arial"/>
        </w:rPr>
      </w:pPr>
    </w:p>
    <w:p w:rsidR="001F7251" w:rsidRPr="003B1FCE" w:rsidRDefault="001F7251" w:rsidP="001F7251">
      <w:pPr>
        <w:spacing w:before="100" w:beforeAutospacing="1" w:after="100" w:afterAutospacing="1" w:line="360" w:lineRule="auto"/>
        <w:contextualSpacing/>
        <w:jc w:val="both"/>
        <w:rPr>
          <w:rFonts w:ascii="Arial" w:hAnsi="Arial" w:cs="Arial"/>
        </w:rPr>
      </w:pPr>
      <w:r w:rsidRPr="003B1FCE">
        <w:rPr>
          <w:rFonts w:ascii="Arial" w:hAnsi="Arial" w:cs="Arial"/>
        </w:rPr>
        <w:t xml:space="preserve">En esta misma línea, por artículo obtuvieron los siguientes índices con relación a la Primera Evaluación Vinculante: </w:t>
      </w:r>
    </w:p>
    <w:tbl>
      <w:tblPr>
        <w:tblStyle w:val="Tablaconcuadrcula"/>
        <w:tblW w:w="0" w:type="auto"/>
        <w:tblLook w:val="04A0" w:firstRow="1" w:lastRow="0" w:firstColumn="1" w:lastColumn="0" w:noHBand="0" w:noVBand="1"/>
      </w:tblPr>
      <w:tblGrid>
        <w:gridCol w:w="3659"/>
        <w:gridCol w:w="2148"/>
        <w:gridCol w:w="2092"/>
        <w:gridCol w:w="12"/>
        <w:gridCol w:w="908"/>
      </w:tblGrid>
      <w:tr w:rsidR="001F7251" w:rsidRPr="003B1FCE" w:rsidTr="00B018FB">
        <w:tc>
          <w:tcPr>
            <w:tcW w:w="3659" w:type="dxa"/>
            <w:shd w:val="clear" w:color="auto" w:fill="ED7D31" w:themeFill="accent2"/>
          </w:tcPr>
          <w:p w:rsidR="001F7251" w:rsidRPr="003B1FCE" w:rsidRDefault="001F7251" w:rsidP="001F7251">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Artículo</w:t>
            </w:r>
          </w:p>
        </w:tc>
        <w:tc>
          <w:tcPr>
            <w:tcW w:w="2148" w:type="dxa"/>
            <w:shd w:val="clear" w:color="auto" w:fill="ED7D31" w:themeFill="accent2"/>
          </w:tcPr>
          <w:p w:rsidR="001F7251" w:rsidRPr="003B1FCE" w:rsidRDefault="001F7251" w:rsidP="001F7251">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ICP – 1ª Evaluación</w:t>
            </w:r>
          </w:p>
        </w:tc>
        <w:tc>
          <w:tcPr>
            <w:tcW w:w="2092" w:type="dxa"/>
            <w:shd w:val="clear" w:color="auto" w:fill="ED7D31" w:themeFill="accent2"/>
          </w:tcPr>
          <w:p w:rsidR="001F7251" w:rsidRPr="003B1FCE" w:rsidRDefault="001F7251" w:rsidP="001F7251">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ICP – 3ª Evaluación</w:t>
            </w:r>
          </w:p>
        </w:tc>
        <w:tc>
          <w:tcPr>
            <w:tcW w:w="920" w:type="dxa"/>
            <w:gridSpan w:val="2"/>
            <w:shd w:val="clear" w:color="auto" w:fill="ED7D31" w:themeFill="accent2"/>
          </w:tcPr>
          <w:p w:rsidR="001F7251" w:rsidRPr="003B1FCE" w:rsidRDefault="001F7251" w:rsidP="001F7251">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Mejoría</w:t>
            </w:r>
          </w:p>
        </w:tc>
      </w:tr>
      <w:tr w:rsidR="001D07E6" w:rsidRPr="003B1FCE" w:rsidTr="001D07E6">
        <w:tc>
          <w:tcPr>
            <w:tcW w:w="3659" w:type="dxa"/>
          </w:tcPr>
          <w:p w:rsidR="001D07E6" w:rsidRPr="003B1FCE" w:rsidRDefault="001D07E6" w:rsidP="001D07E6">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121 – Obligaciones Comunes</w:t>
            </w:r>
          </w:p>
        </w:tc>
        <w:tc>
          <w:tcPr>
            <w:tcW w:w="2148" w:type="dxa"/>
            <w:vAlign w:val="center"/>
          </w:tcPr>
          <w:p w:rsidR="001D07E6" w:rsidRPr="003B1FCE" w:rsidRDefault="001D07E6" w:rsidP="001D07E6">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65.11</w:t>
            </w:r>
          </w:p>
        </w:tc>
        <w:tc>
          <w:tcPr>
            <w:tcW w:w="2104" w:type="dxa"/>
            <w:gridSpan w:val="2"/>
            <w:vAlign w:val="center"/>
          </w:tcPr>
          <w:p w:rsidR="001D07E6" w:rsidRDefault="001D07E6" w:rsidP="001D07E6">
            <w:pPr>
              <w:jc w:val="center"/>
              <w:rPr>
                <w:rFonts w:ascii="Arial" w:hAnsi="Arial" w:cs="Arial"/>
                <w:color w:val="000000"/>
                <w:sz w:val="20"/>
                <w:szCs w:val="20"/>
                <w:lang w:val="es-MX"/>
              </w:rPr>
            </w:pPr>
            <w:r>
              <w:rPr>
                <w:rFonts w:ascii="Arial" w:hAnsi="Arial" w:cs="Arial"/>
                <w:color w:val="000000"/>
                <w:sz w:val="20"/>
                <w:szCs w:val="20"/>
              </w:rPr>
              <w:t>58.06</w:t>
            </w:r>
          </w:p>
        </w:tc>
        <w:tc>
          <w:tcPr>
            <w:tcW w:w="908" w:type="dxa"/>
            <w:vAlign w:val="center"/>
          </w:tcPr>
          <w:p w:rsidR="001D07E6" w:rsidRDefault="001D07E6" w:rsidP="001D07E6">
            <w:pPr>
              <w:jc w:val="center"/>
              <w:rPr>
                <w:rFonts w:ascii="Arial" w:hAnsi="Arial" w:cs="Arial"/>
                <w:color w:val="000000"/>
                <w:sz w:val="20"/>
                <w:szCs w:val="20"/>
              </w:rPr>
            </w:pPr>
            <w:r>
              <w:rPr>
                <w:rFonts w:ascii="Arial" w:hAnsi="Arial" w:cs="Arial"/>
                <w:color w:val="000000"/>
                <w:sz w:val="20"/>
                <w:szCs w:val="20"/>
              </w:rPr>
              <w:t>-7.05</w:t>
            </w:r>
          </w:p>
        </w:tc>
      </w:tr>
      <w:tr w:rsidR="001D07E6" w:rsidRPr="003B1FCE" w:rsidTr="001D07E6">
        <w:tc>
          <w:tcPr>
            <w:tcW w:w="3659" w:type="dxa"/>
          </w:tcPr>
          <w:p w:rsidR="001D07E6" w:rsidRPr="003B1FCE" w:rsidRDefault="001D07E6" w:rsidP="001D07E6">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 xml:space="preserve">129 – Obligaciones Específicas </w:t>
            </w:r>
          </w:p>
        </w:tc>
        <w:tc>
          <w:tcPr>
            <w:tcW w:w="2148" w:type="dxa"/>
            <w:vAlign w:val="center"/>
          </w:tcPr>
          <w:p w:rsidR="001D07E6" w:rsidRPr="00BB29B8" w:rsidRDefault="001D07E6" w:rsidP="001D07E6">
            <w:pPr>
              <w:spacing w:before="100" w:beforeAutospacing="1" w:after="100" w:afterAutospacing="1" w:line="360" w:lineRule="auto"/>
              <w:contextualSpacing/>
              <w:jc w:val="center"/>
              <w:rPr>
                <w:rFonts w:ascii="Arial" w:hAnsi="Arial" w:cs="Arial"/>
                <w:sz w:val="20"/>
                <w:szCs w:val="20"/>
                <w:highlight w:val="yellow"/>
              </w:rPr>
            </w:pPr>
            <w:r w:rsidRPr="00BB29B8">
              <w:rPr>
                <w:rFonts w:ascii="Arial" w:hAnsi="Arial" w:cs="Arial"/>
                <w:sz w:val="20"/>
                <w:szCs w:val="20"/>
                <w:highlight w:val="yellow"/>
              </w:rPr>
              <w:t>46.51</w:t>
            </w:r>
          </w:p>
        </w:tc>
        <w:tc>
          <w:tcPr>
            <w:tcW w:w="2104" w:type="dxa"/>
            <w:gridSpan w:val="2"/>
            <w:vAlign w:val="center"/>
          </w:tcPr>
          <w:p w:rsidR="001D07E6" w:rsidRPr="00BB29B8" w:rsidRDefault="001D07E6" w:rsidP="001D07E6">
            <w:pPr>
              <w:jc w:val="center"/>
              <w:rPr>
                <w:rFonts w:ascii="Arial" w:hAnsi="Arial" w:cs="Arial"/>
                <w:color w:val="000000"/>
                <w:sz w:val="20"/>
                <w:szCs w:val="20"/>
                <w:highlight w:val="yellow"/>
              </w:rPr>
            </w:pPr>
            <w:r w:rsidRPr="00BB29B8">
              <w:rPr>
                <w:rFonts w:ascii="Arial" w:hAnsi="Arial" w:cs="Arial"/>
                <w:color w:val="000000"/>
                <w:sz w:val="20"/>
                <w:szCs w:val="20"/>
                <w:highlight w:val="yellow"/>
              </w:rPr>
              <w:t>49.05</w:t>
            </w:r>
          </w:p>
        </w:tc>
        <w:tc>
          <w:tcPr>
            <w:tcW w:w="908" w:type="dxa"/>
            <w:vAlign w:val="center"/>
          </w:tcPr>
          <w:p w:rsidR="001D07E6" w:rsidRDefault="001D07E6" w:rsidP="001D07E6">
            <w:pPr>
              <w:jc w:val="center"/>
              <w:rPr>
                <w:rFonts w:ascii="Arial" w:hAnsi="Arial" w:cs="Arial"/>
                <w:color w:val="000000"/>
                <w:sz w:val="20"/>
                <w:szCs w:val="20"/>
              </w:rPr>
            </w:pPr>
            <w:r>
              <w:rPr>
                <w:rFonts w:ascii="Arial" w:hAnsi="Arial" w:cs="Arial"/>
                <w:color w:val="000000"/>
                <w:sz w:val="20"/>
                <w:szCs w:val="20"/>
              </w:rPr>
              <w:t>2.54</w:t>
            </w:r>
          </w:p>
        </w:tc>
      </w:tr>
      <w:tr w:rsidR="001D07E6" w:rsidRPr="003B1FCE" w:rsidTr="001D07E6">
        <w:tc>
          <w:tcPr>
            <w:tcW w:w="3659" w:type="dxa"/>
          </w:tcPr>
          <w:p w:rsidR="001D07E6" w:rsidRPr="003B1FCE" w:rsidRDefault="001D07E6" w:rsidP="001D07E6">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lastRenderedPageBreak/>
              <w:t>145 – Portal de Transparencia</w:t>
            </w:r>
          </w:p>
        </w:tc>
        <w:tc>
          <w:tcPr>
            <w:tcW w:w="2148" w:type="dxa"/>
            <w:vAlign w:val="center"/>
          </w:tcPr>
          <w:p w:rsidR="001D07E6" w:rsidRPr="003B1FCE" w:rsidRDefault="001D07E6" w:rsidP="001D07E6">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95</w:t>
            </w:r>
          </w:p>
        </w:tc>
        <w:tc>
          <w:tcPr>
            <w:tcW w:w="2104" w:type="dxa"/>
            <w:gridSpan w:val="2"/>
            <w:vAlign w:val="center"/>
          </w:tcPr>
          <w:p w:rsidR="001D07E6" w:rsidRDefault="001D07E6" w:rsidP="001D07E6">
            <w:pPr>
              <w:jc w:val="center"/>
              <w:rPr>
                <w:rFonts w:ascii="Arial" w:hAnsi="Arial" w:cs="Arial"/>
                <w:color w:val="000000"/>
                <w:sz w:val="20"/>
                <w:szCs w:val="20"/>
              </w:rPr>
            </w:pPr>
            <w:r>
              <w:rPr>
                <w:rFonts w:ascii="Arial" w:hAnsi="Arial" w:cs="Arial"/>
                <w:color w:val="000000"/>
                <w:sz w:val="20"/>
                <w:szCs w:val="20"/>
              </w:rPr>
              <w:t>87.5</w:t>
            </w:r>
          </w:p>
        </w:tc>
        <w:tc>
          <w:tcPr>
            <w:tcW w:w="908" w:type="dxa"/>
            <w:vAlign w:val="center"/>
          </w:tcPr>
          <w:p w:rsidR="001D07E6" w:rsidRDefault="001D07E6" w:rsidP="001D07E6">
            <w:pPr>
              <w:jc w:val="center"/>
              <w:rPr>
                <w:rFonts w:ascii="Arial" w:hAnsi="Arial" w:cs="Arial"/>
                <w:color w:val="000000"/>
                <w:sz w:val="20"/>
                <w:szCs w:val="20"/>
              </w:rPr>
            </w:pPr>
            <w:r>
              <w:rPr>
                <w:rFonts w:ascii="Arial" w:hAnsi="Arial" w:cs="Arial"/>
                <w:color w:val="000000"/>
                <w:sz w:val="20"/>
                <w:szCs w:val="20"/>
              </w:rPr>
              <w:t>-7.5</w:t>
            </w:r>
          </w:p>
        </w:tc>
      </w:tr>
      <w:tr w:rsidR="001D07E6" w:rsidRPr="003B1FCE" w:rsidTr="001D07E6">
        <w:tc>
          <w:tcPr>
            <w:tcW w:w="3659" w:type="dxa"/>
          </w:tcPr>
          <w:p w:rsidR="001D07E6" w:rsidRPr="003B1FCE" w:rsidRDefault="001D07E6" w:rsidP="001D07E6">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146 – Calendario de actualización</w:t>
            </w:r>
          </w:p>
        </w:tc>
        <w:tc>
          <w:tcPr>
            <w:tcW w:w="2148" w:type="dxa"/>
            <w:vAlign w:val="center"/>
          </w:tcPr>
          <w:p w:rsidR="001D07E6" w:rsidRPr="003B1FCE" w:rsidRDefault="001D07E6" w:rsidP="001D07E6">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44.50</w:t>
            </w:r>
          </w:p>
        </w:tc>
        <w:tc>
          <w:tcPr>
            <w:tcW w:w="2104" w:type="dxa"/>
            <w:gridSpan w:val="2"/>
            <w:vAlign w:val="center"/>
          </w:tcPr>
          <w:p w:rsidR="001D07E6" w:rsidRDefault="001D07E6" w:rsidP="001D07E6">
            <w:pPr>
              <w:jc w:val="center"/>
              <w:rPr>
                <w:rFonts w:ascii="Arial" w:hAnsi="Arial" w:cs="Arial"/>
                <w:color w:val="000000"/>
                <w:sz w:val="20"/>
                <w:szCs w:val="20"/>
              </w:rPr>
            </w:pPr>
            <w:r>
              <w:rPr>
                <w:rFonts w:ascii="Arial" w:hAnsi="Arial" w:cs="Arial"/>
                <w:color w:val="000000"/>
                <w:sz w:val="20"/>
                <w:szCs w:val="20"/>
              </w:rPr>
              <w:t>37.5</w:t>
            </w:r>
          </w:p>
        </w:tc>
        <w:tc>
          <w:tcPr>
            <w:tcW w:w="908" w:type="dxa"/>
            <w:vAlign w:val="center"/>
          </w:tcPr>
          <w:p w:rsidR="001D07E6" w:rsidRDefault="001D07E6" w:rsidP="001D07E6">
            <w:pPr>
              <w:jc w:val="center"/>
              <w:rPr>
                <w:rFonts w:ascii="Arial" w:hAnsi="Arial" w:cs="Arial"/>
                <w:color w:val="000000"/>
                <w:sz w:val="20"/>
                <w:szCs w:val="20"/>
              </w:rPr>
            </w:pPr>
            <w:r>
              <w:rPr>
                <w:rFonts w:ascii="Arial" w:hAnsi="Arial" w:cs="Arial"/>
                <w:color w:val="000000"/>
                <w:sz w:val="20"/>
                <w:szCs w:val="20"/>
              </w:rPr>
              <w:t>-7</w:t>
            </w:r>
          </w:p>
        </w:tc>
      </w:tr>
      <w:tr w:rsidR="001D07E6" w:rsidRPr="003B1FCE" w:rsidTr="001D07E6">
        <w:tc>
          <w:tcPr>
            <w:tcW w:w="3659" w:type="dxa"/>
          </w:tcPr>
          <w:p w:rsidR="001D07E6" w:rsidRPr="003B1FCE" w:rsidRDefault="001D07E6" w:rsidP="001D07E6">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 xml:space="preserve">147 – Informes respecto de recursos otorgados por el sujeto obligado a terceros </w:t>
            </w:r>
          </w:p>
        </w:tc>
        <w:tc>
          <w:tcPr>
            <w:tcW w:w="2148" w:type="dxa"/>
            <w:vAlign w:val="center"/>
          </w:tcPr>
          <w:p w:rsidR="001D07E6" w:rsidRPr="003B1FCE" w:rsidRDefault="001D07E6" w:rsidP="001D07E6">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91</w:t>
            </w:r>
          </w:p>
        </w:tc>
        <w:tc>
          <w:tcPr>
            <w:tcW w:w="2104" w:type="dxa"/>
            <w:gridSpan w:val="2"/>
            <w:vAlign w:val="center"/>
          </w:tcPr>
          <w:p w:rsidR="001D07E6" w:rsidRDefault="001D07E6" w:rsidP="001D07E6">
            <w:pPr>
              <w:jc w:val="center"/>
              <w:rPr>
                <w:rFonts w:ascii="Arial" w:hAnsi="Arial" w:cs="Arial"/>
                <w:color w:val="000000"/>
                <w:sz w:val="20"/>
                <w:szCs w:val="20"/>
              </w:rPr>
            </w:pPr>
            <w:r>
              <w:rPr>
                <w:rFonts w:ascii="Arial" w:hAnsi="Arial" w:cs="Arial"/>
                <w:color w:val="000000"/>
                <w:sz w:val="20"/>
                <w:szCs w:val="20"/>
              </w:rPr>
              <w:t>100</w:t>
            </w:r>
          </w:p>
        </w:tc>
        <w:tc>
          <w:tcPr>
            <w:tcW w:w="908" w:type="dxa"/>
            <w:vAlign w:val="center"/>
          </w:tcPr>
          <w:p w:rsidR="001D07E6" w:rsidRDefault="001D07E6" w:rsidP="001D07E6">
            <w:pPr>
              <w:jc w:val="center"/>
              <w:rPr>
                <w:rFonts w:ascii="Arial" w:hAnsi="Arial" w:cs="Arial"/>
                <w:color w:val="000000"/>
                <w:sz w:val="20"/>
                <w:szCs w:val="20"/>
              </w:rPr>
            </w:pPr>
            <w:r>
              <w:rPr>
                <w:rFonts w:ascii="Arial" w:hAnsi="Arial" w:cs="Arial"/>
                <w:color w:val="000000"/>
                <w:sz w:val="20"/>
                <w:szCs w:val="20"/>
              </w:rPr>
              <w:t>9</w:t>
            </w:r>
          </w:p>
        </w:tc>
      </w:tr>
    </w:tbl>
    <w:p w:rsidR="001F7251" w:rsidRPr="003B1FCE" w:rsidRDefault="001F7251" w:rsidP="001F7251">
      <w:pPr>
        <w:spacing w:before="100" w:beforeAutospacing="1" w:after="100" w:afterAutospacing="1" w:line="360" w:lineRule="auto"/>
        <w:contextualSpacing/>
        <w:jc w:val="both"/>
        <w:rPr>
          <w:rFonts w:ascii="Arial" w:hAnsi="Arial" w:cs="Arial"/>
        </w:rPr>
      </w:pPr>
    </w:p>
    <w:p w:rsidR="001F7251" w:rsidRPr="003B1FCE" w:rsidRDefault="006367E2" w:rsidP="001F7251">
      <w:pPr>
        <w:spacing w:before="100" w:beforeAutospacing="1" w:after="100" w:afterAutospacing="1" w:line="360" w:lineRule="auto"/>
        <w:contextualSpacing/>
        <w:jc w:val="both"/>
        <w:rPr>
          <w:rFonts w:ascii="Arial" w:hAnsi="Arial" w:cs="Arial"/>
        </w:rPr>
      </w:pPr>
      <w:r w:rsidRPr="003B1FCE">
        <w:rPr>
          <w:rFonts w:ascii="Arial" w:hAnsi="Arial" w:cs="Arial"/>
        </w:rPr>
        <w:t>Del comparativo anteriormente plasmado, se puede apreciar que este ámbito en las obligaciones comunes</w:t>
      </w:r>
      <w:r w:rsidR="001D07E6">
        <w:rPr>
          <w:rFonts w:ascii="Arial" w:hAnsi="Arial" w:cs="Arial"/>
        </w:rPr>
        <w:t xml:space="preserve"> </w:t>
      </w:r>
      <w:r w:rsidRPr="003B1FCE">
        <w:rPr>
          <w:rFonts w:ascii="Arial" w:hAnsi="Arial" w:cs="Arial"/>
        </w:rPr>
        <w:t xml:space="preserve">y disposiciones particulares obtuvo un decremento en el cumplimiento de sus obligaciones, menos en la consistente en informar al respecto de los recursos otorgados por los Partidos Políticos a terceros, misma en la que alcanzaron el cumplimiento total. </w:t>
      </w:r>
      <w:r w:rsidR="001D07E6" w:rsidRPr="00BB29B8">
        <w:rPr>
          <w:rFonts w:ascii="Arial" w:hAnsi="Arial" w:cs="Arial"/>
          <w:highlight w:val="yellow"/>
        </w:rPr>
        <w:t xml:space="preserve">Asimismo, en lo que se refiere a las obligaciones específicas, los Partidos Políticos tuvieron </w:t>
      </w:r>
      <w:bookmarkStart w:id="27" w:name="_GoBack"/>
      <w:bookmarkEnd w:id="27"/>
      <w:r w:rsidR="001D07E6" w:rsidRPr="00BB29B8">
        <w:rPr>
          <w:rFonts w:ascii="Arial" w:hAnsi="Arial" w:cs="Arial"/>
          <w:highlight w:val="yellow"/>
        </w:rPr>
        <w:t>un incremento de 2.54 puntos en su índice, pasando de 46.51% a 49.05%</w:t>
      </w:r>
      <w:r w:rsidR="001D07E6">
        <w:rPr>
          <w:rFonts w:ascii="Arial" w:hAnsi="Arial" w:cs="Arial"/>
        </w:rPr>
        <w:t xml:space="preserve">. </w:t>
      </w:r>
      <w:r w:rsidR="00B7332B" w:rsidRPr="00BB29B8">
        <w:rPr>
          <w:rFonts w:ascii="Arial" w:hAnsi="Arial" w:cs="Arial"/>
          <w:highlight w:val="yellow"/>
        </w:rPr>
        <w:t>El ámbito de Partidos obtuvo un decremento promedio en su índice</w:t>
      </w:r>
      <w:r w:rsidR="00920167" w:rsidRPr="00BB29B8">
        <w:rPr>
          <w:rFonts w:ascii="Arial" w:hAnsi="Arial" w:cs="Arial"/>
          <w:highlight w:val="yellow"/>
        </w:rPr>
        <w:t xml:space="preserve"> por artículo</w:t>
      </w:r>
      <w:r w:rsidR="00B7332B" w:rsidRPr="00BB29B8">
        <w:rPr>
          <w:rFonts w:ascii="Arial" w:hAnsi="Arial" w:cs="Arial"/>
          <w:highlight w:val="yellow"/>
        </w:rPr>
        <w:t xml:space="preserve"> de </w:t>
      </w:r>
      <w:r w:rsidR="001D07E6" w:rsidRPr="00BB29B8">
        <w:rPr>
          <w:rFonts w:ascii="Arial" w:hAnsi="Arial" w:cs="Arial"/>
          <w:highlight w:val="yellow"/>
        </w:rPr>
        <w:t>7.1 puntos y un incremento</w:t>
      </w:r>
      <w:r w:rsidR="00C4407F" w:rsidRPr="00BB29B8">
        <w:rPr>
          <w:rFonts w:ascii="Arial" w:hAnsi="Arial" w:cs="Arial"/>
          <w:highlight w:val="yellow"/>
        </w:rPr>
        <w:t xml:space="preserve"> promedio</w:t>
      </w:r>
      <w:r w:rsidR="001D07E6" w:rsidRPr="00BB29B8">
        <w:rPr>
          <w:rFonts w:ascii="Arial" w:hAnsi="Arial" w:cs="Arial"/>
          <w:highlight w:val="yellow"/>
        </w:rPr>
        <w:t xml:space="preserve"> de </w:t>
      </w:r>
      <w:r w:rsidR="00C4407F" w:rsidRPr="00BB29B8">
        <w:rPr>
          <w:rFonts w:ascii="Arial" w:hAnsi="Arial" w:cs="Arial"/>
          <w:highlight w:val="yellow"/>
        </w:rPr>
        <w:t>5.77</w:t>
      </w:r>
      <w:r w:rsidR="00C4407F">
        <w:rPr>
          <w:rFonts w:ascii="Arial" w:hAnsi="Arial" w:cs="Arial"/>
        </w:rPr>
        <w:t xml:space="preserve"> puntos</w:t>
      </w:r>
      <w:r w:rsidR="001F7251" w:rsidRPr="003B1FCE">
        <w:rPr>
          <w:rFonts w:ascii="Arial" w:hAnsi="Arial" w:cs="Arial"/>
        </w:rPr>
        <w:t>.</w:t>
      </w:r>
    </w:p>
    <w:p w:rsidR="001F7251" w:rsidRPr="003B1FCE" w:rsidRDefault="001F7251" w:rsidP="001F7251">
      <w:pPr>
        <w:spacing w:before="100" w:beforeAutospacing="1" w:after="100" w:afterAutospacing="1" w:line="360" w:lineRule="auto"/>
        <w:contextualSpacing/>
        <w:jc w:val="both"/>
        <w:rPr>
          <w:rFonts w:ascii="Arial" w:hAnsi="Arial" w:cs="Arial"/>
        </w:rPr>
      </w:pPr>
    </w:p>
    <w:p w:rsidR="001F7251" w:rsidRPr="003B1FCE" w:rsidRDefault="001F7251" w:rsidP="001F7251">
      <w:pPr>
        <w:spacing w:before="100" w:beforeAutospacing="1" w:after="100" w:afterAutospacing="1" w:line="360" w:lineRule="auto"/>
        <w:contextualSpacing/>
        <w:jc w:val="both"/>
        <w:rPr>
          <w:rFonts w:ascii="Arial" w:hAnsi="Arial" w:cs="Arial"/>
          <w:b/>
          <w:bCs/>
        </w:rPr>
      </w:pPr>
      <w:r w:rsidRPr="003B1FCE">
        <w:rPr>
          <w:rFonts w:ascii="Arial" w:hAnsi="Arial" w:cs="Arial"/>
          <w:b/>
          <w:bCs/>
        </w:rPr>
        <w:t>Comparativo de índices entre la Primera Evaluación Vinculante 2019 y la Tercera Evaluación Vinculante 2019</w:t>
      </w:r>
    </w:p>
    <w:tbl>
      <w:tblPr>
        <w:tblW w:w="9067" w:type="dxa"/>
        <w:tblLayout w:type="fixed"/>
        <w:tblCellMar>
          <w:left w:w="70" w:type="dxa"/>
          <w:right w:w="70" w:type="dxa"/>
        </w:tblCellMar>
        <w:tblLook w:val="04A0" w:firstRow="1" w:lastRow="0" w:firstColumn="1" w:lastColumn="0" w:noHBand="0" w:noVBand="1"/>
      </w:tblPr>
      <w:tblGrid>
        <w:gridCol w:w="463"/>
        <w:gridCol w:w="4352"/>
        <w:gridCol w:w="1559"/>
        <w:gridCol w:w="1703"/>
        <w:gridCol w:w="990"/>
      </w:tblGrid>
      <w:tr w:rsidR="001F7251" w:rsidRPr="003B1FCE" w:rsidTr="00B018FB">
        <w:trPr>
          <w:trHeight w:val="860"/>
          <w:tblHeader/>
        </w:trPr>
        <w:tc>
          <w:tcPr>
            <w:tcW w:w="9067" w:type="dxa"/>
            <w:gridSpan w:val="5"/>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1F7251" w:rsidRPr="003B1FCE" w:rsidRDefault="001F7251" w:rsidP="001F7251">
            <w:pPr>
              <w:jc w:val="center"/>
              <w:rPr>
                <w:rFonts w:ascii="Arial" w:hAnsi="Arial" w:cs="Arial"/>
                <w:b/>
                <w:bCs/>
                <w:color w:val="000000"/>
                <w:sz w:val="20"/>
                <w:szCs w:val="20"/>
              </w:rPr>
            </w:pPr>
            <w:r w:rsidRPr="003B1FCE">
              <w:rPr>
                <w:rFonts w:ascii="Arial" w:hAnsi="Arial" w:cs="Arial"/>
                <w:b/>
                <w:bCs/>
                <w:color w:val="000000"/>
                <w:sz w:val="20"/>
                <w:szCs w:val="20"/>
              </w:rPr>
              <w:t>Resultados de la Tercera Evaluación Vinculante 2019, respecto de las recomendaciones y observaciones de la Primera Evaluación Vinculante 2019</w:t>
            </w:r>
          </w:p>
        </w:tc>
      </w:tr>
      <w:tr w:rsidR="001F7251" w:rsidRPr="003B1FCE" w:rsidTr="00B018FB">
        <w:trPr>
          <w:trHeight w:val="340"/>
          <w:tblHeader/>
        </w:trPr>
        <w:tc>
          <w:tcPr>
            <w:tcW w:w="463" w:type="dxa"/>
            <w:tcBorders>
              <w:top w:val="nil"/>
              <w:left w:val="single" w:sz="4" w:space="0" w:color="auto"/>
              <w:bottom w:val="single" w:sz="4" w:space="0" w:color="auto"/>
              <w:right w:val="single" w:sz="4" w:space="0" w:color="auto"/>
            </w:tcBorders>
            <w:shd w:val="clear" w:color="auto" w:fill="ED7D31" w:themeFill="accent2"/>
            <w:vAlign w:val="center"/>
            <w:hideMark/>
          </w:tcPr>
          <w:p w:rsidR="001F7251" w:rsidRPr="003B1FCE" w:rsidRDefault="001F7251" w:rsidP="001F7251">
            <w:pPr>
              <w:jc w:val="center"/>
              <w:rPr>
                <w:rFonts w:ascii="Arial" w:hAnsi="Arial" w:cs="Arial"/>
                <w:b/>
                <w:bCs/>
                <w:color w:val="000000"/>
                <w:sz w:val="20"/>
                <w:szCs w:val="20"/>
              </w:rPr>
            </w:pPr>
            <w:r w:rsidRPr="003B1FCE">
              <w:rPr>
                <w:rFonts w:ascii="Arial" w:hAnsi="Arial" w:cs="Arial"/>
                <w:b/>
                <w:bCs/>
                <w:color w:val="000000"/>
                <w:sz w:val="20"/>
                <w:szCs w:val="20"/>
              </w:rPr>
              <w:t>No.</w:t>
            </w:r>
          </w:p>
        </w:tc>
        <w:tc>
          <w:tcPr>
            <w:tcW w:w="4352" w:type="dxa"/>
            <w:tcBorders>
              <w:top w:val="nil"/>
              <w:left w:val="nil"/>
              <w:bottom w:val="single" w:sz="4" w:space="0" w:color="auto"/>
              <w:right w:val="single" w:sz="4" w:space="0" w:color="auto"/>
            </w:tcBorders>
            <w:shd w:val="clear" w:color="auto" w:fill="ED7D31" w:themeFill="accent2"/>
            <w:vAlign w:val="center"/>
            <w:hideMark/>
          </w:tcPr>
          <w:p w:rsidR="001F7251" w:rsidRPr="003B1FCE" w:rsidRDefault="001F7251" w:rsidP="001F7251">
            <w:pPr>
              <w:jc w:val="center"/>
              <w:rPr>
                <w:rFonts w:ascii="Arial" w:hAnsi="Arial" w:cs="Arial"/>
                <w:b/>
                <w:bCs/>
                <w:color w:val="000000"/>
                <w:sz w:val="20"/>
                <w:szCs w:val="20"/>
              </w:rPr>
            </w:pPr>
            <w:r w:rsidRPr="003B1FCE">
              <w:rPr>
                <w:rFonts w:ascii="Arial" w:hAnsi="Arial" w:cs="Arial"/>
                <w:b/>
                <w:bCs/>
                <w:color w:val="000000"/>
                <w:sz w:val="20"/>
                <w:szCs w:val="20"/>
              </w:rPr>
              <w:t>Sujeto obligado</w:t>
            </w:r>
          </w:p>
        </w:tc>
        <w:tc>
          <w:tcPr>
            <w:tcW w:w="1559" w:type="dxa"/>
            <w:tcBorders>
              <w:top w:val="nil"/>
              <w:left w:val="nil"/>
              <w:bottom w:val="single" w:sz="4" w:space="0" w:color="auto"/>
              <w:right w:val="single" w:sz="4" w:space="0" w:color="auto"/>
            </w:tcBorders>
            <w:shd w:val="clear" w:color="auto" w:fill="ED7D31" w:themeFill="accent2"/>
            <w:vAlign w:val="center"/>
            <w:hideMark/>
          </w:tcPr>
          <w:p w:rsidR="001F7251" w:rsidRPr="003B1FCE" w:rsidRDefault="001F7251" w:rsidP="001F7251">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1a Evaluación Vinculante 2019, respecto del ejercicio 2018</w:t>
            </w:r>
          </w:p>
        </w:tc>
        <w:tc>
          <w:tcPr>
            <w:tcW w:w="1703" w:type="dxa"/>
            <w:tcBorders>
              <w:top w:val="nil"/>
              <w:left w:val="nil"/>
              <w:bottom w:val="single" w:sz="4" w:space="0" w:color="auto"/>
              <w:right w:val="single" w:sz="4" w:space="0" w:color="auto"/>
            </w:tcBorders>
            <w:shd w:val="clear" w:color="auto" w:fill="ED7D31" w:themeFill="accent2"/>
            <w:vAlign w:val="center"/>
            <w:hideMark/>
          </w:tcPr>
          <w:p w:rsidR="001F7251" w:rsidRPr="003B1FCE" w:rsidRDefault="001F7251" w:rsidP="001F7251">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3a Evaluación Vinculante, respecto de la 1a Evaluación Vinculante</w:t>
            </w:r>
          </w:p>
        </w:tc>
        <w:tc>
          <w:tcPr>
            <w:tcW w:w="990" w:type="dxa"/>
            <w:tcBorders>
              <w:top w:val="nil"/>
              <w:left w:val="nil"/>
              <w:bottom w:val="single" w:sz="4" w:space="0" w:color="auto"/>
              <w:right w:val="single" w:sz="4" w:space="0" w:color="auto"/>
            </w:tcBorders>
            <w:shd w:val="clear" w:color="auto" w:fill="ED7D31" w:themeFill="accent2"/>
            <w:vAlign w:val="center"/>
            <w:hideMark/>
          </w:tcPr>
          <w:p w:rsidR="001F7251" w:rsidRPr="003B1FCE" w:rsidRDefault="001F7251" w:rsidP="001F7251">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Mejoría</w:t>
            </w:r>
          </w:p>
        </w:tc>
      </w:tr>
      <w:tr w:rsidR="00C4407F" w:rsidRPr="003B1FCE" w:rsidTr="00C4407F">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lang w:val="es-MX"/>
              </w:rPr>
            </w:pPr>
            <w:r w:rsidRPr="00C4407F">
              <w:rPr>
                <w:rFonts w:ascii="Arial" w:hAnsi="Arial" w:cs="Arial"/>
                <w:color w:val="000000"/>
                <w:sz w:val="20"/>
                <w:szCs w:val="20"/>
              </w:rPr>
              <w:t>1</w:t>
            </w:r>
          </w:p>
        </w:tc>
        <w:tc>
          <w:tcPr>
            <w:tcW w:w="4352"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rPr>
                <w:rFonts w:ascii="Arial" w:hAnsi="Arial" w:cs="Arial"/>
                <w:color w:val="000000"/>
                <w:sz w:val="20"/>
                <w:szCs w:val="20"/>
              </w:rPr>
            </w:pPr>
            <w:r w:rsidRPr="00C4407F">
              <w:rPr>
                <w:rFonts w:ascii="Arial" w:hAnsi="Arial" w:cs="Arial"/>
                <w:color w:val="000000"/>
                <w:sz w:val="20"/>
                <w:szCs w:val="20"/>
              </w:rPr>
              <w:t>Partido del Trabajo en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63.03</w:t>
            </w:r>
          </w:p>
        </w:tc>
        <w:tc>
          <w:tcPr>
            <w:tcW w:w="1703"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36.97</w:t>
            </w:r>
          </w:p>
        </w:tc>
      </w:tr>
      <w:tr w:rsidR="00C4407F" w:rsidRPr="003B1FCE" w:rsidTr="00C4407F">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2</w:t>
            </w:r>
          </w:p>
        </w:tc>
        <w:tc>
          <w:tcPr>
            <w:tcW w:w="4352"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rPr>
                <w:rFonts w:ascii="Arial" w:hAnsi="Arial" w:cs="Arial"/>
                <w:color w:val="000000"/>
                <w:sz w:val="20"/>
                <w:szCs w:val="20"/>
              </w:rPr>
            </w:pPr>
            <w:r w:rsidRPr="00C4407F">
              <w:rPr>
                <w:rFonts w:ascii="Arial" w:hAnsi="Arial" w:cs="Arial"/>
                <w:color w:val="000000"/>
                <w:sz w:val="20"/>
                <w:szCs w:val="20"/>
              </w:rPr>
              <w:t>Partido Verde Ecologista de México en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94.83</w:t>
            </w:r>
          </w:p>
        </w:tc>
        <w:tc>
          <w:tcPr>
            <w:tcW w:w="1703"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100.00</w:t>
            </w:r>
          </w:p>
        </w:tc>
        <w:tc>
          <w:tcPr>
            <w:tcW w:w="990"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5.17</w:t>
            </w:r>
          </w:p>
        </w:tc>
      </w:tr>
      <w:tr w:rsidR="00C4407F" w:rsidRPr="003B1FCE" w:rsidTr="00C4407F">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3</w:t>
            </w:r>
          </w:p>
        </w:tc>
        <w:tc>
          <w:tcPr>
            <w:tcW w:w="4352"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rPr>
                <w:rFonts w:ascii="Arial" w:hAnsi="Arial" w:cs="Arial"/>
                <w:color w:val="000000"/>
                <w:sz w:val="20"/>
                <w:szCs w:val="20"/>
              </w:rPr>
            </w:pPr>
            <w:r w:rsidRPr="00C4407F">
              <w:rPr>
                <w:rFonts w:ascii="Arial" w:hAnsi="Arial" w:cs="Arial"/>
                <w:color w:val="000000"/>
                <w:sz w:val="20"/>
                <w:szCs w:val="20"/>
              </w:rPr>
              <w:t>Partido de la Revolución Democrática en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70.86</w:t>
            </w:r>
          </w:p>
        </w:tc>
        <w:tc>
          <w:tcPr>
            <w:tcW w:w="1703"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87.14</w:t>
            </w:r>
          </w:p>
        </w:tc>
        <w:tc>
          <w:tcPr>
            <w:tcW w:w="990"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16.28</w:t>
            </w:r>
          </w:p>
        </w:tc>
      </w:tr>
      <w:tr w:rsidR="00C4407F" w:rsidRPr="003B1FCE" w:rsidTr="00C4407F">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4</w:t>
            </w:r>
          </w:p>
        </w:tc>
        <w:tc>
          <w:tcPr>
            <w:tcW w:w="4352"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rPr>
                <w:rFonts w:ascii="Arial" w:hAnsi="Arial" w:cs="Arial"/>
                <w:color w:val="000000"/>
                <w:sz w:val="20"/>
                <w:szCs w:val="20"/>
              </w:rPr>
            </w:pPr>
            <w:r w:rsidRPr="00C4407F">
              <w:rPr>
                <w:rFonts w:ascii="Arial" w:hAnsi="Arial" w:cs="Arial"/>
                <w:color w:val="000000"/>
                <w:sz w:val="20"/>
                <w:szCs w:val="20"/>
              </w:rPr>
              <w:t>Partido Acción Nacional en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56.62</w:t>
            </w:r>
          </w:p>
        </w:tc>
        <w:tc>
          <w:tcPr>
            <w:tcW w:w="1703"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56.62</w:t>
            </w:r>
          </w:p>
        </w:tc>
        <w:tc>
          <w:tcPr>
            <w:tcW w:w="990"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w:t>
            </w:r>
          </w:p>
        </w:tc>
      </w:tr>
      <w:tr w:rsidR="00C4407F" w:rsidRPr="003B1FCE" w:rsidTr="00C4407F">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lastRenderedPageBreak/>
              <w:t>5</w:t>
            </w:r>
          </w:p>
        </w:tc>
        <w:tc>
          <w:tcPr>
            <w:tcW w:w="4352"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rPr>
                <w:rFonts w:ascii="Arial" w:hAnsi="Arial" w:cs="Arial"/>
                <w:color w:val="000000"/>
                <w:sz w:val="20"/>
                <w:szCs w:val="20"/>
              </w:rPr>
            </w:pPr>
            <w:r w:rsidRPr="00C4407F">
              <w:rPr>
                <w:rFonts w:ascii="Arial" w:hAnsi="Arial" w:cs="Arial"/>
                <w:color w:val="000000"/>
                <w:sz w:val="20"/>
                <w:szCs w:val="20"/>
              </w:rPr>
              <w:t>Partido Humanista en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65.32</w:t>
            </w:r>
          </w:p>
        </w:tc>
        <w:tc>
          <w:tcPr>
            <w:tcW w:w="1703"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54.88</w:t>
            </w:r>
          </w:p>
        </w:tc>
        <w:tc>
          <w:tcPr>
            <w:tcW w:w="990"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-10.44</w:t>
            </w:r>
          </w:p>
        </w:tc>
      </w:tr>
      <w:tr w:rsidR="00C4407F" w:rsidRPr="003B1FCE" w:rsidTr="00C4407F">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6</w:t>
            </w:r>
          </w:p>
        </w:tc>
        <w:tc>
          <w:tcPr>
            <w:tcW w:w="4352"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rPr>
                <w:rFonts w:ascii="Arial" w:hAnsi="Arial" w:cs="Arial"/>
                <w:color w:val="000000"/>
                <w:sz w:val="20"/>
                <w:szCs w:val="20"/>
              </w:rPr>
            </w:pPr>
            <w:r w:rsidRPr="00C4407F">
              <w:rPr>
                <w:rFonts w:ascii="Arial" w:hAnsi="Arial" w:cs="Arial"/>
                <w:color w:val="000000"/>
                <w:sz w:val="20"/>
                <w:szCs w:val="20"/>
              </w:rPr>
              <w:t>MORENA en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31.38</w:t>
            </w:r>
          </w:p>
        </w:tc>
        <w:tc>
          <w:tcPr>
            <w:tcW w:w="1703"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33.85</w:t>
            </w:r>
          </w:p>
        </w:tc>
        <w:tc>
          <w:tcPr>
            <w:tcW w:w="990"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2.48</w:t>
            </w:r>
          </w:p>
        </w:tc>
      </w:tr>
      <w:tr w:rsidR="00C4407F" w:rsidRPr="003B1FCE" w:rsidTr="00C4407F">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7</w:t>
            </w:r>
          </w:p>
        </w:tc>
        <w:tc>
          <w:tcPr>
            <w:tcW w:w="4352"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rPr>
                <w:rFonts w:ascii="Arial" w:hAnsi="Arial" w:cs="Arial"/>
                <w:color w:val="000000"/>
                <w:sz w:val="20"/>
                <w:szCs w:val="20"/>
              </w:rPr>
            </w:pPr>
            <w:r w:rsidRPr="00C4407F">
              <w:rPr>
                <w:rFonts w:ascii="Arial" w:hAnsi="Arial" w:cs="Arial"/>
                <w:color w:val="000000"/>
                <w:sz w:val="20"/>
                <w:szCs w:val="20"/>
              </w:rPr>
              <w:t>Encuentro Social en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45.79</w:t>
            </w:r>
          </w:p>
        </w:tc>
        <w:tc>
          <w:tcPr>
            <w:tcW w:w="1703"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33.63</w:t>
            </w:r>
          </w:p>
        </w:tc>
        <w:tc>
          <w:tcPr>
            <w:tcW w:w="990"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-12.16</w:t>
            </w:r>
          </w:p>
        </w:tc>
      </w:tr>
      <w:tr w:rsidR="00C4407F" w:rsidRPr="003B1FCE" w:rsidTr="00C4407F">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8</w:t>
            </w:r>
          </w:p>
        </w:tc>
        <w:tc>
          <w:tcPr>
            <w:tcW w:w="4352"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rPr>
                <w:rFonts w:ascii="Arial" w:hAnsi="Arial" w:cs="Arial"/>
                <w:color w:val="000000"/>
                <w:sz w:val="20"/>
                <w:szCs w:val="20"/>
              </w:rPr>
            </w:pPr>
            <w:r w:rsidRPr="00C4407F">
              <w:rPr>
                <w:rFonts w:ascii="Arial" w:hAnsi="Arial" w:cs="Arial"/>
                <w:color w:val="000000"/>
                <w:sz w:val="20"/>
                <w:szCs w:val="20"/>
              </w:rPr>
              <w:t>Nueva Alianza en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21.09</w:t>
            </w:r>
          </w:p>
        </w:tc>
        <w:tc>
          <w:tcPr>
            <w:tcW w:w="1703"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21.09</w:t>
            </w:r>
          </w:p>
        </w:tc>
        <w:tc>
          <w:tcPr>
            <w:tcW w:w="990" w:type="dxa"/>
            <w:tcBorders>
              <w:top w:val="nil"/>
              <w:left w:val="nil"/>
              <w:bottom w:val="single" w:sz="4" w:space="0" w:color="auto"/>
              <w:right w:val="single" w:sz="4" w:space="0" w:color="auto"/>
            </w:tcBorders>
            <w:shd w:val="clear" w:color="auto" w:fill="auto"/>
            <w:vAlign w:val="center"/>
            <w:hideMark/>
          </w:tcPr>
          <w:p w:rsidR="00C4407F" w:rsidRPr="00C4407F" w:rsidRDefault="00C4407F" w:rsidP="00C4407F">
            <w:pPr>
              <w:jc w:val="center"/>
              <w:rPr>
                <w:rFonts w:ascii="Arial" w:hAnsi="Arial" w:cs="Arial"/>
                <w:color w:val="000000"/>
                <w:sz w:val="20"/>
                <w:szCs w:val="20"/>
              </w:rPr>
            </w:pPr>
            <w:r w:rsidRPr="00C4407F">
              <w:rPr>
                <w:rFonts w:ascii="Arial" w:hAnsi="Arial" w:cs="Arial"/>
                <w:color w:val="000000"/>
                <w:sz w:val="20"/>
                <w:szCs w:val="20"/>
              </w:rPr>
              <w:t>-</w:t>
            </w:r>
          </w:p>
        </w:tc>
      </w:tr>
    </w:tbl>
    <w:p w:rsidR="001F7251" w:rsidRPr="003B1FCE" w:rsidRDefault="001F7251" w:rsidP="001F7251">
      <w:pPr>
        <w:spacing w:before="100" w:beforeAutospacing="1" w:after="100" w:afterAutospacing="1" w:line="360" w:lineRule="auto"/>
        <w:contextualSpacing/>
        <w:jc w:val="both"/>
        <w:rPr>
          <w:rFonts w:ascii="Arial" w:hAnsi="Arial" w:cs="Arial"/>
        </w:rPr>
      </w:pPr>
    </w:p>
    <w:p w:rsidR="00B7332B" w:rsidRPr="003B1FCE" w:rsidRDefault="00B7332B" w:rsidP="001F7251">
      <w:pPr>
        <w:spacing w:before="100" w:beforeAutospacing="1" w:after="100" w:afterAutospacing="1" w:line="360" w:lineRule="auto"/>
        <w:jc w:val="both"/>
        <w:rPr>
          <w:rFonts w:ascii="Arial" w:hAnsi="Arial" w:cs="Arial"/>
        </w:rPr>
      </w:pPr>
      <w:r w:rsidRPr="003B1FCE">
        <w:rPr>
          <w:rFonts w:ascii="Arial" w:hAnsi="Arial" w:cs="Arial"/>
        </w:rPr>
        <w:t xml:space="preserve">Con relación a las recomendaciones y observaciones emitidas a los ocho Partidos Políticos en la Primera Evaluación Vinculante 2019, </w:t>
      </w:r>
      <w:r w:rsidR="00C4407F">
        <w:rPr>
          <w:rFonts w:ascii="Arial" w:hAnsi="Arial" w:cs="Arial"/>
        </w:rPr>
        <w:t>cuatro</w:t>
      </w:r>
      <w:r w:rsidRPr="003B1FCE">
        <w:rPr>
          <w:rFonts w:ascii="Arial" w:hAnsi="Arial" w:cs="Arial"/>
        </w:rPr>
        <w:t xml:space="preserve"> observaron las mismas y </w:t>
      </w:r>
      <w:r w:rsidR="00C4407F">
        <w:rPr>
          <w:rFonts w:ascii="Arial" w:hAnsi="Arial" w:cs="Arial"/>
        </w:rPr>
        <w:t>cuatro</w:t>
      </w:r>
      <w:r w:rsidRPr="003B1FCE">
        <w:rPr>
          <w:rFonts w:ascii="Arial" w:hAnsi="Arial" w:cs="Arial"/>
        </w:rPr>
        <w:t xml:space="preserve"> hicieron caso omiso. De los </w:t>
      </w:r>
      <w:r w:rsidR="00C4407F">
        <w:rPr>
          <w:rFonts w:ascii="Arial" w:hAnsi="Arial" w:cs="Arial"/>
        </w:rPr>
        <w:t>cuatro</w:t>
      </w:r>
      <w:r w:rsidRPr="003B1FCE">
        <w:rPr>
          <w:rFonts w:ascii="Arial" w:hAnsi="Arial" w:cs="Arial"/>
        </w:rPr>
        <w:t xml:space="preserve"> que atendieron, dos partidos lograr</w:t>
      </w:r>
      <w:r w:rsidR="00677E37" w:rsidRPr="003B1FCE">
        <w:rPr>
          <w:rFonts w:ascii="Arial" w:hAnsi="Arial" w:cs="Arial"/>
        </w:rPr>
        <w:t>on</w:t>
      </w:r>
      <w:r w:rsidRPr="003B1FCE">
        <w:rPr>
          <w:rFonts w:ascii="Arial" w:hAnsi="Arial" w:cs="Arial"/>
        </w:rPr>
        <w:t xml:space="preserve"> alcanzar el cumplimiento total de sus obligaciones de transparencia</w:t>
      </w:r>
      <w:r w:rsidR="00C4407F">
        <w:rPr>
          <w:rFonts w:ascii="Arial" w:hAnsi="Arial" w:cs="Arial"/>
        </w:rPr>
        <w:t>, uno subió 16.28 puntos dentro de su índice, permaneciendo en el rubro de cumplimiento parcial</w:t>
      </w:r>
      <w:r w:rsidRPr="003B1FCE">
        <w:rPr>
          <w:rFonts w:ascii="Arial" w:hAnsi="Arial" w:cs="Arial"/>
        </w:rPr>
        <w:t xml:space="preserve"> y uno únicamente subió dos puntos dentro del índice, continuando con su incumplimiento parcial. </w:t>
      </w:r>
    </w:p>
    <w:p w:rsidR="009D05E7" w:rsidRPr="003B1FCE" w:rsidRDefault="00B7332B" w:rsidP="001F7251">
      <w:pPr>
        <w:spacing w:before="100" w:beforeAutospacing="1" w:after="100" w:afterAutospacing="1" w:line="360" w:lineRule="auto"/>
        <w:jc w:val="both"/>
        <w:rPr>
          <w:rFonts w:ascii="Arial" w:hAnsi="Arial" w:cs="Arial"/>
        </w:rPr>
      </w:pPr>
      <w:r w:rsidRPr="003B1FCE">
        <w:rPr>
          <w:rFonts w:ascii="Arial" w:hAnsi="Arial" w:cs="Arial"/>
        </w:rPr>
        <w:t xml:space="preserve">De los </w:t>
      </w:r>
      <w:r w:rsidR="00C4407F">
        <w:rPr>
          <w:rFonts w:ascii="Arial" w:hAnsi="Arial" w:cs="Arial"/>
        </w:rPr>
        <w:t>cuatro</w:t>
      </w:r>
      <w:r w:rsidRPr="003B1FCE">
        <w:rPr>
          <w:rFonts w:ascii="Arial" w:hAnsi="Arial" w:cs="Arial"/>
        </w:rPr>
        <w:t xml:space="preserve"> que no atendieron las recomendaciones y observaciones, dos partidos conservaron el mismo índice y </w:t>
      </w:r>
      <w:r w:rsidR="00EF4482">
        <w:rPr>
          <w:rFonts w:ascii="Arial" w:hAnsi="Arial" w:cs="Arial"/>
        </w:rPr>
        <w:t xml:space="preserve">dos </w:t>
      </w:r>
      <w:r w:rsidRPr="003B1FCE">
        <w:rPr>
          <w:rFonts w:ascii="Arial" w:hAnsi="Arial" w:cs="Arial"/>
        </w:rPr>
        <w:t xml:space="preserve">tuvieron un decremento </w:t>
      </w:r>
      <w:proofErr w:type="gramStart"/>
      <w:r w:rsidRPr="003B1FCE">
        <w:rPr>
          <w:rFonts w:ascii="Arial" w:hAnsi="Arial" w:cs="Arial"/>
        </w:rPr>
        <w:t>del mismo</w:t>
      </w:r>
      <w:proofErr w:type="gramEnd"/>
      <w:r w:rsidRPr="003B1FCE">
        <w:rPr>
          <w:rFonts w:ascii="Arial" w:hAnsi="Arial" w:cs="Arial"/>
        </w:rPr>
        <w:t xml:space="preserve">. </w:t>
      </w:r>
    </w:p>
    <w:p w:rsidR="00B7332B" w:rsidRPr="003B1FCE" w:rsidRDefault="00B7332B" w:rsidP="009D05E7">
      <w:r w:rsidRPr="003B1FCE">
        <w:rPr>
          <w:rFonts w:ascii="Arial" w:hAnsi="Arial" w:cs="Arial"/>
        </w:rPr>
        <w:t xml:space="preserve"> </w:t>
      </w:r>
    </w:p>
    <w:p w:rsidR="009D05E7" w:rsidRPr="003B1FCE" w:rsidRDefault="009D05E7">
      <w:pPr>
        <w:rPr>
          <w:rFonts w:ascii="Arial" w:eastAsiaTheme="majorEastAsia" w:hAnsi="Arial" w:cs="Arial"/>
          <w:b/>
          <w:lang w:eastAsia="en-US"/>
        </w:rPr>
      </w:pPr>
      <w:r w:rsidRPr="003B1FCE">
        <w:rPr>
          <w:rFonts w:ascii="Arial" w:hAnsi="Arial" w:cs="Arial"/>
          <w:b/>
        </w:rPr>
        <w:br w:type="page"/>
      </w:r>
    </w:p>
    <w:p w:rsidR="004828F3" w:rsidRPr="003B1FCE" w:rsidRDefault="004828F3" w:rsidP="00FF7BD9">
      <w:pPr>
        <w:pStyle w:val="Ttulo1"/>
        <w:contextualSpacing/>
        <w:rPr>
          <w:rFonts w:ascii="Arial" w:hAnsi="Arial" w:cs="Arial"/>
          <w:b/>
          <w:color w:val="auto"/>
          <w:sz w:val="24"/>
          <w:szCs w:val="24"/>
        </w:rPr>
      </w:pPr>
      <w:bookmarkStart w:id="28" w:name="_Toc26913266"/>
      <w:r w:rsidRPr="003B1FCE">
        <w:rPr>
          <w:rFonts w:ascii="Arial" w:hAnsi="Arial" w:cs="Arial"/>
          <w:b/>
          <w:color w:val="auto"/>
          <w:sz w:val="24"/>
          <w:szCs w:val="24"/>
        </w:rPr>
        <w:lastRenderedPageBreak/>
        <w:t>SINDICATOS</w:t>
      </w:r>
      <w:bookmarkEnd w:id="0"/>
      <w:bookmarkEnd w:id="28"/>
      <w:r w:rsidRPr="003B1FCE">
        <w:rPr>
          <w:rFonts w:ascii="Arial" w:hAnsi="Arial" w:cs="Arial"/>
          <w:b/>
          <w:color w:val="auto"/>
          <w:sz w:val="24"/>
          <w:szCs w:val="24"/>
        </w:rPr>
        <w:t xml:space="preserve"> </w:t>
      </w:r>
    </w:p>
    <w:p w:rsidR="004828F3" w:rsidRPr="003B1FCE" w:rsidRDefault="004828F3" w:rsidP="004828F3">
      <w:pPr>
        <w:contextualSpacing/>
        <w:rPr>
          <w:rFonts w:ascii="Arial" w:hAnsi="Arial" w:cs="Arial"/>
        </w:rPr>
      </w:pPr>
    </w:p>
    <w:p w:rsidR="004828F3" w:rsidRPr="003B1FCE" w:rsidRDefault="004828F3" w:rsidP="004828F3">
      <w:pPr>
        <w:spacing w:before="100" w:beforeAutospacing="1" w:after="100" w:afterAutospacing="1" w:line="360" w:lineRule="auto"/>
        <w:contextualSpacing/>
        <w:jc w:val="both"/>
        <w:rPr>
          <w:rFonts w:ascii="Arial" w:hAnsi="Arial" w:cs="Arial"/>
        </w:rPr>
      </w:pPr>
      <w:r w:rsidRPr="003B1FCE">
        <w:rPr>
          <w:rFonts w:ascii="Arial" w:hAnsi="Arial" w:cs="Arial"/>
        </w:rPr>
        <w:t xml:space="preserve">El ámbito de personas morales que reciben y ejercen recursos públicos, está </w:t>
      </w:r>
      <w:r w:rsidR="00677E37" w:rsidRPr="003B1FCE">
        <w:rPr>
          <w:rFonts w:ascii="Arial" w:hAnsi="Arial" w:cs="Arial"/>
        </w:rPr>
        <w:t>integrado</w:t>
      </w:r>
      <w:r w:rsidRPr="003B1FCE">
        <w:rPr>
          <w:rFonts w:ascii="Arial" w:hAnsi="Arial" w:cs="Arial"/>
        </w:rPr>
        <w:t xml:space="preserve"> por 21 sujetos obligados, de conformidad con el Padrón de sujetos obligados supeditados al cumplimiento de la Ley de Transparencia, Acceso a la Información Pública y Rendición de Cuentas de la Ciudad de México</w:t>
      </w:r>
      <w:r w:rsidRPr="003B1FCE" w:rsidDel="005B5D1B">
        <w:rPr>
          <w:rFonts w:ascii="Arial" w:hAnsi="Arial" w:cs="Arial"/>
        </w:rPr>
        <w:t xml:space="preserve"> </w:t>
      </w:r>
      <w:r w:rsidRPr="003B1FCE">
        <w:rPr>
          <w:rFonts w:ascii="Arial" w:hAnsi="Arial" w:cs="Arial"/>
        </w:rPr>
        <w:t xml:space="preserve">y de la Ley de Protección de Datos Personales en Posesión de los sujetos obligados de la Ciudad de México vigente al 31 de diciembre e 2018. </w:t>
      </w:r>
    </w:p>
    <w:p w:rsidR="004828F3" w:rsidRPr="003B1FCE" w:rsidRDefault="004828F3" w:rsidP="004828F3">
      <w:pPr>
        <w:spacing w:before="100" w:beforeAutospacing="1" w:after="100" w:afterAutospacing="1" w:line="360" w:lineRule="auto"/>
        <w:contextualSpacing/>
        <w:jc w:val="both"/>
        <w:rPr>
          <w:rFonts w:ascii="Arial" w:hAnsi="Arial" w:cs="Arial"/>
        </w:rPr>
      </w:pPr>
    </w:p>
    <w:p w:rsidR="004828F3" w:rsidRPr="003B1FCE" w:rsidRDefault="004828F3" w:rsidP="004828F3">
      <w:pPr>
        <w:spacing w:before="100" w:beforeAutospacing="1" w:after="100" w:afterAutospacing="1" w:line="360" w:lineRule="auto"/>
        <w:contextualSpacing/>
        <w:jc w:val="both"/>
        <w:rPr>
          <w:rFonts w:ascii="Arial" w:hAnsi="Arial" w:cs="Arial"/>
        </w:rPr>
      </w:pPr>
      <w:r w:rsidRPr="003B1FCE">
        <w:rPr>
          <w:rFonts w:ascii="Arial" w:hAnsi="Arial" w:cs="Arial"/>
        </w:rPr>
        <w:t>Los sujetos obligados, así como su Índice de Cumplimiento de obligaciones de transparencia del Portal de Internet (I</w:t>
      </w:r>
      <w:r w:rsidR="007E533F" w:rsidRPr="003B1FCE">
        <w:rPr>
          <w:rFonts w:ascii="Arial" w:hAnsi="Arial" w:cs="Arial"/>
        </w:rPr>
        <w:t>C</w:t>
      </w:r>
      <w:r w:rsidRPr="003B1FCE">
        <w:rPr>
          <w:rFonts w:ascii="Arial" w:hAnsi="Arial" w:cs="Arial"/>
        </w:rPr>
        <w:t>OT-P</w:t>
      </w:r>
      <w:r w:rsidR="00677E37" w:rsidRPr="003B1FCE">
        <w:rPr>
          <w:rFonts w:ascii="Arial" w:hAnsi="Arial" w:cs="Arial"/>
        </w:rPr>
        <w:t>I</w:t>
      </w:r>
      <w:r w:rsidRPr="003B1FCE">
        <w:rPr>
          <w:rFonts w:ascii="Arial" w:hAnsi="Arial" w:cs="Arial"/>
        </w:rPr>
        <w:t>), el de la Plataforma Nacional de Transparencia (I</w:t>
      </w:r>
      <w:r w:rsidR="007E533F" w:rsidRPr="003B1FCE">
        <w:rPr>
          <w:rFonts w:ascii="Arial" w:hAnsi="Arial" w:cs="Arial"/>
        </w:rPr>
        <w:t>C</w:t>
      </w:r>
      <w:r w:rsidRPr="003B1FCE">
        <w:rPr>
          <w:rFonts w:ascii="Arial" w:hAnsi="Arial" w:cs="Arial"/>
        </w:rPr>
        <w:t xml:space="preserve">OT-PNT) y el Índice General de Cumplimiento de obligaciones de transparencia (IGOT) se presentan en la siguiente tabla, ordenados de forma descendente, respecto del IGOT: </w:t>
      </w:r>
    </w:p>
    <w:p w:rsidR="004828F3" w:rsidRPr="003B1FCE" w:rsidRDefault="004828F3" w:rsidP="004828F3">
      <w:pPr>
        <w:spacing w:before="100" w:beforeAutospacing="1" w:after="100" w:afterAutospacing="1" w:line="360" w:lineRule="auto"/>
        <w:contextualSpacing/>
        <w:jc w:val="both"/>
        <w:rPr>
          <w:rFonts w:ascii="Arial" w:hAnsi="Arial" w:cs="Arial"/>
        </w:rPr>
      </w:pPr>
    </w:p>
    <w:tbl>
      <w:tblPr>
        <w:tblW w:w="8926" w:type="dxa"/>
        <w:tblCellMar>
          <w:left w:w="70" w:type="dxa"/>
          <w:right w:w="70" w:type="dxa"/>
        </w:tblCellMar>
        <w:tblLook w:val="04A0" w:firstRow="1" w:lastRow="0" w:firstColumn="1" w:lastColumn="0" w:noHBand="0" w:noVBand="1"/>
      </w:tblPr>
      <w:tblGrid>
        <w:gridCol w:w="463"/>
        <w:gridCol w:w="5212"/>
        <w:gridCol w:w="1130"/>
        <w:gridCol w:w="1272"/>
        <w:gridCol w:w="849"/>
      </w:tblGrid>
      <w:tr w:rsidR="004828F3" w:rsidRPr="003B1FCE" w:rsidTr="00B018FB">
        <w:trPr>
          <w:trHeight w:val="860"/>
          <w:tblHeader/>
        </w:trPr>
        <w:tc>
          <w:tcPr>
            <w:tcW w:w="8926" w:type="dxa"/>
            <w:gridSpan w:val="5"/>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4828F3" w:rsidRPr="003B1FCE" w:rsidRDefault="004828F3" w:rsidP="001F7251">
            <w:pPr>
              <w:jc w:val="center"/>
              <w:rPr>
                <w:rFonts w:ascii="Arial" w:hAnsi="Arial" w:cs="Arial"/>
                <w:b/>
                <w:bCs/>
                <w:color w:val="000000"/>
                <w:sz w:val="20"/>
                <w:szCs w:val="20"/>
              </w:rPr>
            </w:pPr>
            <w:r w:rsidRPr="003B1FCE">
              <w:rPr>
                <w:rFonts w:ascii="Arial" w:hAnsi="Arial" w:cs="Arial"/>
                <w:b/>
                <w:bCs/>
                <w:color w:val="000000"/>
                <w:sz w:val="20"/>
                <w:szCs w:val="20"/>
              </w:rPr>
              <w:t>Resultados de la Tercera Evaluación Vinculante 2019, respecto de las recomendaciones y observaciones de la Primera Evaluación Vinculante 2019</w:t>
            </w:r>
          </w:p>
        </w:tc>
      </w:tr>
      <w:tr w:rsidR="004828F3" w:rsidRPr="003B1FCE" w:rsidTr="00B018FB">
        <w:trPr>
          <w:trHeight w:val="340"/>
          <w:tblHeader/>
        </w:trPr>
        <w:tc>
          <w:tcPr>
            <w:tcW w:w="463" w:type="dxa"/>
            <w:tcBorders>
              <w:top w:val="nil"/>
              <w:left w:val="single" w:sz="4" w:space="0" w:color="auto"/>
              <w:bottom w:val="single" w:sz="4" w:space="0" w:color="auto"/>
              <w:right w:val="single" w:sz="4" w:space="0" w:color="auto"/>
            </w:tcBorders>
            <w:shd w:val="clear" w:color="auto" w:fill="ED7D31" w:themeFill="accent2"/>
            <w:vAlign w:val="center"/>
            <w:hideMark/>
          </w:tcPr>
          <w:p w:rsidR="004828F3" w:rsidRPr="003B1FCE" w:rsidRDefault="004828F3" w:rsidP="001F7251">
            <w:pPr>
              <w:jc w:val="center"/>
              <w:rPr>
                <w:rFonts w:ascii="Arial" w:hAnsi="Arial" w:cs="Arial"/>
                <w:b/>
                <w:bCs/>
                <w:color w:val="000000"/>
                <w:sz w:val="20"/>
                <w:szCs w:val="20"/>
              </w:rPr>
            </w:pPr>
            <w:r w:rsidRPr="003B1FCE">
              <w:rPr>
                <w:rFonts w:ascii="Arial" w:hAnsi="Arial" w:cs="Arial"/>
                <w:b/>
                <w:bCs/>
                <w:color w:val="000000"/>
                <w:sz w:val="20"/>
                <w:szCs w:val="20"/>
              </w:rPr>
              <w:t>No.</w:t>
            </w:r>
          </w:p>
        </w:tc>
        <w:tc>
          <w:tcPr>
            <w:tcW w:w="5212" w:type="dxa"/>
            <w:tcBorders>
              <w:top w:val="nil"/>
              <w:left w:val="nil"/>
              <w:bottom w:val="single" w:sz="4" w:space="0" w:color="auto"/>
              <w:right w:val="single" w:sz="4" w:space="0" w:color="auto"/>
            </w:tcBorders>
            <w:shd w:val="clear" w:color="auto" w:fill="ED7D31" w:themeFill="accent2"/>
            <w:vAlign w:val="center"/>
            <w:hideMark/>
          </w:tcPr>
          <w:p w:rsidR="004828F3" w:rsidRPr="003B1FCE" w:rsidRDefault="004828F3" w:rsidP="001F7251">
            <w:pPr>
              <w:jc w:val="center"/>
              <w:rPr>
                <w:rFonts w:ascii="Arial" w:hAnsi="Arial" w:cs="Arial"/>
                <w:b/>
                <w:bCs/>
                <w:color w:val="000000"/>
                <w:sz w:val="20"/>
                <w:szCs w:val="20"/>
              </w:rPr>
            </w:pPr>
            <w:r w:rsidRPr="003B1FCE">
              <w:rPr>
                <w:rFonts w:ascii="Arial" w:hAnsi="Arial" w:cs="Arial"/>
                <w:b/>
                <w:bCs/>
                <w:color w:val="000000"/>
                <w:sz w:val="20"/>
                <w:szCs w:val="20"/>
              </w:rPr>
              <w:t>Sujeto obligado</w:t>
            </w:r>
          </w:p>
        </w:tc>
        <w:tc>
          <w:tcPr>
            <w:tcW w:w="1130" w:type="dxa"/>
            <w:tcBorders>
              <w:top w:val="nil"/>
              <w:left w:val="nil"/>
              <w:bottom w:val="single" w:sz="4" w:space="0" w:color="auto"/>
              <w:right w:val="single" w:sz="4" w:space="0" w:color="auto"/>
            </w:tcBorders>
            <w:shd w:val="clear" w:color="auto" w:fill="ED7D31" w:themeFill="accent2"/>
            <w:vAlign w:val="center"/>
            <w:hideMark/>
          </w:tcPr>
          <w:p w:rsidR="004828F3" w:rsidRPr="003B1FCE" w:rsidRDefault="004828F3" w:rsidP="001F7251">
            <w:pPr>
              <w:jc w:val="center"/>
              <w:rPr>
                <w:rFonts w:ascii="Arial" w:hAnsi="Arial" w:cs="Arial"/>
                <w:b/>
                <w:bCs/>
                <w:color w:val="000000"/>
                <w:sz w:val="20"/>
                <w:szCs w:val="20"/>
              </w:rPr>
            </w:pPr>
            <w:r w:rsidRPr="003B1FCE">
              <w:rPr>
                <w:rFonts w:ascii="Arial" w:hAnsi="Arial" w:cs="Arial"/>
                <w:b/>
                <w:bCs/>
                <w:color w:val="000000"/>
                <w:sz w:val="20"/>
                <w:szCs w:val="20"/>
              </w:rPr>
              <w:t>I</w:t>
            </w:r>
            <w:r w:rsidR="007E533F" w:rsidRPr="003B1FCE">
              <w:rPr>
                <w:rFonts w:ascii="Arial" w:hAnsi="Arial" w:cs="Arial"/>
                <w:b/>
                <w:bCs/>
                <w:color w:val="000000"/>
                <w:sz w:val="20"/>
                <w:szCs w:val="20"/>
              </w:rPr>
              <w:t>C</w:t>
            </w:r>
            <w:r w:rsidRPr="003B1FCE">
              <w:rPr>
                <w:rFonts w:ascii="Arial" w:hAnsi="Arial" w:cs="Arial"/>
                <w:b/>
                <w:bCs/>
                <w:color w:val="000000"/>
                <w:sz w:val="20"/>
                <w:szCs w:val="20"/>
              </w:rPr>
              <w:t>OT-</w:t>
            </w:r>
            <w:r w:rsidR="00677E37" w:rsidRPr="003B1FCE">
              <w:rPr>
                <w:rFonts w:ascii="Arial" w:hAnsi="Arial" w:cs="Arial"/>
                <w:b/>
                <w:bCs/>
                <w:color w:val="000000"/>
                <w:sz w:val="20"/>
                <w:szCs w:val="20"/>
              </w:rPr>
              <w:t>PI</w:t>
            </w:r>
          </w:p>
        </w:tc>
        <w:tc>
          <w:tcPr>
            <w:tcW w:w="1272" w:type="dxa"/>
            <w:tcBorders>
              <w:top w:val="nil"/>
              <w:left w:val="nil"/>
              <w:bottom w:val="single" w:sz="4" w:space="0" w:color="auto"/>
              <w:right w:val="single" w:sz="4" w:space="0" w:color="auto"/>
            </w:tcBorders>
            <w:shd w:val="clear" w:color="auto" w:fill="ED7D31" w:themeFill="accent2"/>
            <w:vAlign w:val="center"/>
            <w:hideMark/>
          </w:tcPr>
          <w:p w:rsidR="004828F3" w:rsidRPr="003B1FCE" w:rsidRDefault="004828F3" w:rsidP="001F7251">
            <w:pPr>
              <w:jc w:val="center"/>
              <w:rPr>
                <w:rFonts w:ascii="Arial" w:hAnsi="Arial" w:cs="Arial"/>
                <w:b/>
                <w:bCs/>
                <w:color w:val="000000"/>
                <w:sz w:val="20"/>
                <w:szCs w:val="20"/>
              </w:rPr>
            </w:pPr>
            <w:r w:rsidRPr="003B1FCE">
              <w:rPr>
                <w:rFonts w:ascii="Arial" w:hAnsi="Arial" w:cs="Arial"/>
                <w:b/>
                <w:bCs/>
                <w:color w:val="000000"/>
                <w:sz w:val="20"/>
                <w:szCs w:val="20"/>
              </w:rPr>
              <w:t>I</w:t>
            </w:r>
            <w:r w:rsidR="007E533F" w:rsidRPr="003B1FCE">
              <w:rPr>
                <w:rFonts w:ascii="Arial" w:hAnsi="Arial" w:cs="Arial"/>
                <w:b/>
                <w:bCs/>
                <w:color w:val="000000"/>
                <w:sz w:val="20"/>
                <w:szCs w:val="20"/>
              </w:rPr>
              <w:t>C</w:t>
            </w:r>
            <w:r w:rsidRPr="003B1FCE">
              <w:rPr>
                <w:rFonts w:ascii="Arial" w:hAnsi="Arial" w:cs="Arial"/>
                <w:b/>
                <w:bCs/>
                <w:color w:val="000000"/>
                <w:sz w:val="20"/>
                <w:szCs w:val="20"/>
              </w:rPr>
              <w:t>OT-PNT</w:t>
            </w:r>
          </w:p>
        </w:tc>
        <w:tc>
          <w:tcPr>
            <w:tcW w:w="849" w:type="dxa"/>
            <w:tcBorders>
              <w:top w:val="nil"/>
              <w:left w:val="nil"/>
              <w:bottom w:val="single" w:sz="4" w:space="0" w:color="auto"/>
              <w:right w:val="single" w:sz="4" w:space="0" w:color="auto"/>
            </w:tcBorders>
            <w:shd w:val="clear" w:color="auto" w:fill="ED7D31" w:themeFill="accent2"/>
            <w:vAlign w:val="center"/>
            <w:hideMark/>
          </w:tcPr>
          <w:p w:rsidR="004828F3" w:rsidRPr="003B1FCE" w:rsidRDefault="004828F3" w:rsidP="001F7251">
            <w:pPr>
              <w:jc w:val="center"/>
              <w:rPr>
                <w:rFonts w:ascii="Arial" w:hAnsi="Arial" w:cs="Arial"/>
                <w:b/>
                <w:bCs/>
                <w:color w:val="000000"/>
                <w:sz w:val="20"/>
                <w:szCs w:val="20"/>
              </w:rPr>
            </w:pPr>
            <w:r w:rsidRPr="003B1FCE">
              <w:rPr>
                <w:rFonts w:ascii="Arial" w:hAnsi="Arial" w:cs="Arial"/>
                <w:b/>
                <w:bCs/>
                <w:color w:val="000000"/>
                <w:sz w:val="20"/>
                <w:szCs w:val="20"/>
              </w:rPr>
              <w:t>IGOT</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w:t>
            </w:r>
          </w:p>
        </w:tc>
        <w:tc>
          <w:tcPr>
            <w:tcW w:w="521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Único de Trabajadores del Gobierno de la Ciudad de México</w:t>
            </w:r>
          </w:p>
        </w:tc>
        <w:tc>
          <w:tcPr>
            <w:tcW w:w="1130"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99.74</w:t>
            </w:r>
          </w:p>
        </w:tc>
        <w:tc>
          <w:tcPr>
            <w:tcW w:w="127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100.00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99.87</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2</w:t>
            </w:r>
          </w:p>
        </w:tc>
        <w:tc>
          <w:tcPr>
            <w:tcW w:w="521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Independiente de Trabajadores del Instituto de Educación Media Superior del Distrito Federal</w:t>
            </w:r>
          </w:p>
        </w:tc>
        <w:tc>
          <w:tcPr>
            <w:tcW w:w="1130"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96.92</w:t>
            </w:r>
          </w:p>
        </w:tc>
        <w:tc>
          <w:tcPr>
            <w:tcW w:w="127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95.59</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96.26</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3</w:t>
            </w:r>
          </w:p>
        </w:tc>
        <w:tc>
          <w:tcPr>
            <w:tcW w:w="521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de Trabajadores del Poder Judicial del Distrito Federal</w:t>
            </w:r>
          </w:p>
        </w:tc>
        <w:tc>
          <w:tcPr>
            <w:tcW w:w="1130"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94.97</w:t>
            </w:r>
          </w:p>
        </w:tc>
        <w:tc>
          <w:tcPr>
            <w:tcW w:w="127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96.35</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95.66</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4</w:t>
            </w:r>
          </w:p>
        </w:tc>
        <w:tc>
          <w:tcPr>
            <w:tcW w:w="521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de Trabajadores del Tribunal de Justicia Administrativa de la Ciudad de México</w:t>
            </w:r>
          </w:p>
        </w:tc>
        <w:tc>
          <w:tcPr>
            <w:tcW w:w="1130"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88.52</w:t>
            </w:r>
          </w:p>
        </w:tc>
        <w:tc>
          <w:tcPr>
            <w:tcW w:w="127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86.50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87.51</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5</w:t>
            </w:r>
          </w:p>
        </w:tc>
        <w:tc>
          <w:tcPr>
            <w:tcW w:w="521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Nacional de Trabajadores del Sistema de Transporte Colectivo</w:t>
            </w:r>
          </w:p>
        </w:tc>
        <w:tc>
          <w:tcPr>
            <w:tcW w:w="1130"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81.69</w:t>
            </w:r>
          </w:p>
        </w:tc>
        <w:tc>
          <w:tcPr>
            <w:tcW w:w="127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90.91</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86.30</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6</w:t>
            </w:r>
          </w:p>
        </w:tc>
        <w:tc>
          <w:tcPr>
            <w:tcW w:w="521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Democrático Independiente de Trabajadores del Sistema de Transporte Colectivo</w:t>
            </w:r>
          </w:p>
        </w:tc>
        <w:tc>
          <w:tcPr>
            <w:tcW w:w="1130"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78.16</w:t>
            </w:r>
          </w:p>
        </w:tc>
        <w:tc>
          <w:tcPr>
            <w:tcW w:w="127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13.72</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45.94</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w:t>
            </w:r>
          </w:p>
        </w:tc>
        <w:tc>
          <w:tcPr>
            <w:tcW w:w="521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de Trabajadores de Transporte de Pasajeros del Distrito Federal</w:t>
            </w:r>
          </w:p>
        </w:tc>
        <w:tc>
          <w:tcPr>
            <w:tcW w:w="1130"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15.00</w:t>
            </w:r>
          </w:p>
        </w:tc>
        <w:tc>
          <w:tcPr>
            <w:tcW w:w="127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59.75</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37.38</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lastRenderedPageBreak/>
              <w:t>8</w:t>
            </w:r>
          </w:p>
        </w:tc>
        <w:tc>
          <w:tcPr>
            <w:tcW w:w="521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Democrático de los Trabajadores de la Procuraduría Social del Distrito Federal</w:t>
            </w:r>
          </w:p>
        </w:tc>
        <w:tc>
          <w:tcPr>
            <w:tcW w:w="1130"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10.00</w:t>
            </w:r>
          </w:p>
        </w:tc>
        <w:tc>
          <w:tcPr>
            <w:tcW w:w="127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28.75</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19.38</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9</w:t>
            </w:r>
          </w:p>
        </w:tc>
        <w:tc>
          <w:tcPr>
            <w:tcW w:w="521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Alianza de Tranviarios de México</w:t>
            </w:r>
          </w:p>
        </w:tc>
        <w:tc>
          <w:tcPr>
            <w:tcW w:w="1130"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5.00</w:t>
            </w:r>
          </w:p>
        </w:tc>
        <w:tc>
          <w:tcPr>
            <w:tcW w:w="127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10.00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10</w:t>
            </w:r>
          </w:p>
        </w:tc>
        <w:tc>
          <w:tcPr>
            <w:tcW w:w="521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Asociación Sindical de Trabajadores del Instituto de Vivienda del Distrito Federal</w:t>
            </w:r>
          </w:p>
        </w:tc>
        <w:tc>
          <w:tcPr>
            <w:tcW w:w="1130"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5.00</w:t>
            </w:r>
          </w:p>
        </w:tc>
        <w:tc>
          <w:tcPr>
            <w:tcW w:w="127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10.00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11</w:t>
            </w:r>
          </w:p>
        </w:tc>
        <w:tc>
          <w:tcPr>
            <w:tcW w:w="521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Asociación Sindical de Trabajadores del Metro</w:t>
            </w:r>
          </w:p>
        </w:tc>
        <w:tc>
          <w:tcPr>
            <w:tcW w:w="1130"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5.00</w:t>
            </w:r>
          </w:p>
        </w:tc>
        <w:tc>
          <w:tcPr>
            <w:tcW w:w="127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10.00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12</w:t>
            </w:r>
          </w:p>
        </w:tc>
        <w:tc>
          <w:tcPr>
            <w:tcW w:w="521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Auténtico de Trabajadores de la Asamblea Legislativa del Distrito Federal</w:t>
            </w:r>
          </w:p>
        </w:tc>
        <w:tc>
          <w:tcPr>
            <w:tcW w:w="1130"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5.00</w:t>
            </w:r>
          </w:p>
        </w:tc>
        <w:tc>
          <w:tcPr>
            <w:tcW w:w="127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10.00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13</w:t>
            </w:r>
          </w:p>
        </w:tc>
        <w:tc>
          <w:tcPr>
            <w:tcW w:w="521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de Empleados del Servicio de Anales de Jurisprudencia</w:t>
            </w:r>
          </w:p>
        </w:tc>
        <w:tc>
          <w:tcPr>
            <w:tcW w:w="1130"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5.00</w:t>
            </w:r>
          </w:p>
        </w:tc>
        <w:tc>
          <w:tcPr>
            <w:tcW w:w="127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10.00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14</w:t>
            </w:r>
          </w:p>
        </w:tc>
        <w:tc>
          <w:tcPr>
            <w:tcW w:w="521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de la Unión de Trabajadores del Instituto de Educación Media Superior del Distrito Federal</w:t>
            </w:r>
          </w:p>
        </w:tc>
        <w:tc>
          <w:tcPr>
            <w:tcW w:w="1130"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5.00</w:t>
            </w:r>
          </w:p>
        </w:tc>
        <w:tc>
          <w:tcPr>
            <w:tcW w:w="127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10.00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15</w:t>
            </w:r>
          </w:p>
        </w:tc>
        <w:tc>
          <w:tcPr>
            <w:tcW w:w="521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de Trabajadores de la Asamblea Legislativa del Distrito Federal</w:t>
            </w:r>
          </w:p>
        </w:tc>
        <w:tc>
          <w:tcPr>
            <w:tcW w:w="1130"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5.00</w:t>
            </w:r>
          </w:p>
        </w:tc>
        <w:tc>
          <w:tcPr>
            <w:tcW w:w="127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10.00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16</w:t>
            </w:r>
          </w:p>
        </w:tc>
        <w:tc>
          <w:tcPr>
            <w:tcW w:w="521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de Trabajadores de la Auditoría Superior de la Ciudad de México</w:t>
            </w:r>
          </w:p>
        </w:tc>
        <w:tc>
          <w:tcPr>
            <w:tcW w:w="1130"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5.00</w:t>
            </w:r>
          </w:p>
        </w:tc>
        <w:tc>
          <w:tcPr>
            <w:tcW w:w="127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10.00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17</w:t>
            </w:r>
          </w:p>
        </w:tc>
        <w:tc>
          <w:tcPr>
            <w:tcW w:w="521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de Trabajadores del Tribunal Superior de Justicia del Distrito Federal</w:t>
            </w:r>
          </w:p>
        </w:tc>
        <w:tc>
          <w:tcPr>
            <w:tcW w:w="1130"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5.00</w:t>
            </w:r>
          </w:p>
        </w:tc>
        <w:tc>
          <w:tcPr>
            <w:tcW w:w="127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10.00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18</w:t>
            </w:r>
          </w:p>
        </w:tc>
        <w:tc>
          <w:tcPr>
            <w:tcW w:w="521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del Heroico Cuerpo de Bomberos del Distrito Federal</w:t>
            </w:r>
          </w:p>
        </w:tc>
        <w:tc>
          <w:tcPr>
            <w:tcW w:w="1130"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5.00</w:t>
            </w:r>
          </w:p>
        </w:tc>
        <w:tc>
          <w:tcPr>
            <w:tcW w:w="127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10.00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19</w:t>
            </w:r>
          </w:p>
        </w:tc>
        <w:tc>
          <w:tcPr>
            <w:tcW w:w="521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Independiente de Trabajadores Unidos de la Asamblea Legislativa del Distrito Federal</w:t>
            </w:r>
          </w:p>
        </w:tc>
        <w:tc>
          <w:tcPr>
            <w:tcW w:w="1130"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5.00</w:t>
            </w:r>
          </w:p>
        </w:tc>
        <w:tc>
          <w:tcPr>
            <w:tcW w:w="127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10.00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20</w:t>
            </w:r>
          </w:p>
        </w:tc>
        <w:tc>
          <w:tcPr>
            <w:tcW w:w="521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Único de Trabajadores de la Universidad Autónoma de la Ciudad de México</w:t>
            </w:r>
          </w:p>
        </w:tc>
        <w:tc>
          <w:tcPr>
            <w:tcW w:w="1130"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5.00</w:t>
            </w:r>
          </w:p>
        </w:tc>
        <w:tc>
          <w:tcPr>
            <w:tcW w:w="127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10.00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21</w:t>
            </w:r>
          </w:p>
        </w:tc>
        <w:tc>
          <w:tcPr>
            <w:tcW w:w="521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Único de Trabajadores Democráticos del Sistema de Transporte Colectivo</w:t>
            </w:r>
          </w:p>
        </w:tc>
        <w:tc>
          <w:tcPr>
            <w:tcW w:w="1130"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5.00</w:t>
            </w:r>
          </w:p>
        </w:tc>
        <w:tc>
          <w:tcPr>
            <w:tcW w:w="127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10.00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r>
    </w:tbl>
    <w:p w:rsidR="004828F3" w:rsidRPr="003B1FCE" w:rsidRDefault="004828F3" w:rsidP="004828F3">
      <w:pPr>
        <w:spacing w:before="100" w:beforeAutospacing="1" w:after="100" w:afterAutospacing="1" w:line="360" w:lineRule="auto"/>
        <w:contextualSpacing/>
        <w:jc w:val="both"/>
        <w:rPr>
          <w:rFonts w:ascii="Arial" w:hAnsi="Arial" w:cs="Arial"/>
          <w:sz w:val="16"/>
          <w:szCs w:val="16"/>
        </w:rPr>
      </w:pPr>
      <w:r w:rsidRPr="003B1FCE">
        <w:rPr>
          <w:rFonts w:ascii="Arial" w:hAnsi="Arial" w:cs="Arial"/>
          <w:b/>
          <w:sz w:val="16"/>
          <w:szCs w:val="16"/>
        </w:rPr>
        <w:t>Nota metodológica</w:t>
      </w:r>
      <w:r w:rsidRPr="003B1FCE">
        <w:rPr>
          <w:rFonts w:ascii="Arial" w:hAnsi="Arial" w:cs="Arial"/>
          <w:sz w:val="16"/>
          <w:szCs w:val="16"/>
        </w:rPr>
        <w:t xml:space="preserve">: </w:t>
      </w:r>
    </w:p>
    <w:p w:rsidR="004828F3" w:rsidRPr="003B1FCE" w:rsidRDefault="004828F3" w:rsidP="004828F3">
      <w:pPr>
        <w:spacing w:before="100" w:beforeAutospacing="1" w:after="100" w:afterAutospacing="1" w:line="360" w:lineRule="auto"/>
        <w:contextualSpacing/>
        <w:jc w:val="both"/>
        <w:rPr>
          <w:rFonts w:ascii="Arial" w:hAnsi="Arial" w:cs="Arial"/>
          <w:sz w:val="16"/>
          <w:szCs w:val="16"/>
        </w:rPr>
      </w:pPr>
      <w:r w:rsidRPr="003B1FCE">
        <w:rPr>
          <w:rFonts w:ascii="Arial" w:hAnsi="Arial" w:cs="Arial"/>
          <w:sz w:val="16"/>
          <w:szCs w:val="16"/>
        </w:rPr>
        <w:t>El IGOT se compone del promedio de ICOT-</w:t>
      </w:r>
      <w:r w:rsidR="00677E37" w:rsidRPr="003B1FCE">
        <w:rPr>
          <w:rFonts w:ascii="Arial" w:hAnsi="Arial" w:cs="Arial"/>
          <w:sz w:val="16"/>
          <w:szCs w:val="16"/>
        </w:rPr>
        <w:t>PI</w:t>
      </w:r>
      <w:r w:rsidRPr="003B1FCE">
        <w:rPr>
          <w:rFonts w:ascii="Arial" w:hAnsi="Arial" w:cs="Arial"/>
          <w:sz w:val="16"/>
          <w:szCs w:val="16"/>
        </w:rPr>
        <w:t xml:space="preserve"> e ICOT-PNT.</w:t>
      </w:r>
    </w:p>
    <w:p w:rsidR="004828F3" w:rsidRPr="003B1FCE" w:rsidRDefault="004828F3" w:rsidP="004828F3">
      <w:pPr>
        <w:spacing w:before="100" w:beforeAutospacing="1" w:after="100" w:afterAutospacing="1" w:line="360" w:lineRule="auto"/>
        <w:contextualSpacing/>
        <w:jc w:val="both"/>
        <w:rPr>
          <w:rFonts w:ascii="Arial" w:hAnsi="Arial" w:cs="Arial"/>
          <w:color w:val="000000"/>
          <w:sz w:val="16"/>
          <w:szCs w:val="16"/>
        </w:rPr>
      </w:pPr>
      <w:r w:rsidRPr="003B1FCE">
        <w:rPr>
          <w:rFonts w:ascii="Arial" w:hAnsi="Arial" w:cs="Arial"/>
          <w:b/>
          <w:bCs/>
          <w:color w:val="000000"/>
          <w:sz w:val="16"/>
          <w:szCs w:val="16"/>
        </w:rPr>
        <w:t>%</w:t>
      </w:r>
      <w:proofErr w:type="spellStart"/>
      <w:r w:rsidRPr="003B1FCE">
        <w:rPr>
          <w:rFonts w:ascii="Arial" w:hAnsi="Arial" w:cs="Arial"/>
          <w:b/>
          <w:bCs/>
          <w:color w:val="000000"/>
          <w:sz w:val="16"/>
          <w:szCs w:val="16"/>
        </w:rPr>
        <w:t>Inf</w:t>
      </w:r>
      <w:proofErr w:type="spellEnd"/>
      <w:r w:rsidRPr="003B1FCE">
        <w:rPr>
          <w:rFonts w:ascii="Arial" w:hAnsi="Arial" w:cs="Arial"/>
          <w:b/>
          <w:bCs/>
          <w:color w:val="000000"/>
          <w:sz w:val="16"/>
          <w:szCs w:val="16"/>
        </w:rPr>
        <w:t xml:space="preserve"> </w:t>
      </w:r>
      <w:r w:rsidR="00677E37" w:rsidRPr="003B1FCE">
        <w:rPr>
          <w:rFonts w:ascii="Arial" w:hAnsi="Arial" w:cs="Arial"/>
          <w:b/>
          <w:bCs/>
          <w:color w:val="000000"/>
          <w:sz w:val="16"/>
          <w:szCs w:val="16"/>
        </w:rPr>
        <w:t>PI</w:t>
      </w:r>
      <w:r w:rsidRPr="003B1FCE">
        <w:rPr>
          <w:rFonts w:ascii="Arial" w:hAnsi="Arial" w:cs="Arial"/>
          <w:b/>
          <w:bCs/>
          <w:color w:val="000000"/>
          <w:sz w:val="16"/>
          <w:szCs w:val="16"/>
        </w:rPr>
        <w:t>:</w:t>
      </w:r>
      <w:r w:rsidRPr="003B1FCE">
        <w:rPr>
          <w:rFonts w:ascii="Arial" w:hAnsi="Arial" w:cs="Arial"/>
          <w:color w:val="000000"/>
          <w:sz w:val="16"/>
          <w:szCs w:val="16"/>
        </w:rPr>
        <w:t xml:space="preserve"> corresponde al porcentaje del índice que hace referencia a la información que se encuentra publicada y actualizada en el Portal de Internet (PI) del sujeto obligado. </w:t>
      </w:r>
    </w:p>
    <w:p w:rsidR="004828F3" w:rsidRPr="003B1FCE" w:rsidRDefault="004828F3" w:rsidP="004828F3">
      <w:pPr>
        <w:spacing w:before="100" w:beforeAutospacing="1" w:after="100" w:afterAutospacing="1" w:line="360" w:lineRule="auto"/>
        <w:contextualSpacing/>
        <w:jc w:val="both"/>
        <w:rPr>
          <w:rFonts w:ascii="Arial" w:hAnsi="Arial" w:cs="Arial"/>
          <w:color w:val="000000"/>
          <w:sz w:val="16"/>
          <w:szCs w:val="16"/>
        </w:rPr>
      </w:pPr>
      <w:r w:rsidRPr="003B1FCE">
        <w:rPr>
          <w:rFonts w:ascii="Arial" w:hAnsi="Arial" w:cs="Arial"/>
          <w:b/>
          <w:bCs/>
          <w:color w:val="000000"/>
          <w:sz w:val="16"/>
          <w:szCs w:val="16"/>
        </w:rPr>
        <w:lastRenderedPageBreak/>
        <w:t>%</w:t>
      </w:r>
      <w:proofErr w:type="spellStart"/>
      <w:r w:rsidRPr="003B1FCE">
        <w:rPr>
          <w:rFonts w:ascii="Arial" w:hAnsi="Arial" w:cs="Arial"/>
          <w:b/>
          <w:bCs/>
          <w:color w:val="000000"/>
          <w:sz w:val="16"/>
          <w:szCs w:val="16"/>
        </w:rPr>
        <w:t>Inf</w:t>
      </w:r>
      <w:proofErr w:type="spellEnd"/>
      <w:r w:rsidRPr="003B1FCE">
        <w:rPr>
          <w:rFonts w:ascii="Arial" w:hAnsi="Arial" w:cs="Arial"/>
          <w:b/>
          <w:bCs/>
          <w:color w:val="000000"/>
          <w:sz w:val="16"/>
          <w:szCs w:val="16"/>
        </w:rPr>
        <w:t xml:space="preserve"> PNT:</w:t>
      </w:r>
      <w:r w:rsidRPr="003B1FCE">
        <w:rPr>
          <w:rFonts w:ascii="Arial" w:hAnsi="Arial" w:cs="Arial"/>
          <w:color w:val="000000"/>
          <w:sz w:val="16"/>
          <w:szCs w:val="16"/>
        </w:rPr>
        <w:t xml:space="preserve"> corresponde al porcentaje del índice que hace referencia a la información que se encuentra publicada y actualizada en la Plataforma Nacional de Transparencia (PNT) del sujeto obligado.</w:t>
      </w:r>
    </w:p>
    <w:p w:rsidR="004828F3" w:rsidRPr="003B1FCE" w:rsidRDefault="004828F3" w:rsidP="004828F3">
      <w:pPr>
        <w:spacing w:before="100" w:beforeAutospacing="1" w:after="100" w:afterAutospacing="1" w:line="360" w:lineRule="auto"/>
        <w:contextualSpacing/>
        <w:jc w:val="both"/>
        <w:rPr>
          <w:rFonts w:ascii="Arial" w:hAnsi="Arial" w:cs="Arial"/>
          <w:color w:val="000000"/>
          <w:sz w:val="16"/>
          <w:szCs w:val="16"/>
        </w:rPr>
      </w:pPr>
      <w:r w:rsidRPr="003B1FCE">
        <w:rPr>
          <w:rFonts w:ascii="Arial" w:hAnsi="Arial" w:cs="Arial"/>
          <w:b/>
          <w:bCs/>
          <w:color w:val="000000"/>
          <w:sz w:val="16"/>
          <w:szCs w:val="16"/>
        </w:rPr>
        <w:t>%</w:t>
      </w:r>
      <w:proofErr w:type="spellStart"/>
      <w:r w:rsidRPr="003B1FCE">
        <w:rPr>
          <w:rFonts w:ascii="Arial" w:hAnsi="Arial" w:cs="Arial"/>
          <w:b/>
          <w:bCs/>
          <w:color w:val="000000"/>
          <w:sz w:val="16"/>
          <w:szCs w:val="16"/>
        </w:rPr>
        <w:t>Inf</w:t>
      </w:r>
      <w:proofErr w:type="spellEnd"/>
      <w:r w:rsidRPr="003B1FCE">
        <w:rPr>
          <w:rFonts w:ascii="Arial" w:hAnsi="Arial" w:cs="Arial"/>
          <w:b/>
          <w:bCs/>
          <w:color w:val="000000"/>
          <w:sz w:val="16"/>
          <w:szCs w:val="16"/>
        </w:rPr>
        <w:t xml:space="preserve"> IGOT: </w:t>
      </w:r>
      <w:r w:rsidRPr="003B1FCE">
        <w:rPr>
          <w:rFonts w:ascii="Arial" w:hAnsi="Arial" w:cs="Arial"/>
          <w:color w:val="000000"/>
          <w:sz w:val="16"/>
          <w:szCs w:val="16"/>
        </w:rPr>
        <w:t>corresponde al porcentaje del índice que hace referencia a la información que se encuentra publicada y actualizada tanto en la PNT y el PI del sujeto obligado.</w:t>
      </w:r>
    </w:p>
    <w:p w:rsidR="004828F3" w:rsidRPr="003B1FCE" w:rsidRDefault="004828F3" w:rsidP="004828F3">
      <w:pPr>
        <w:spacing w:before="100" w:beforeAutospacing="1" w:after="100" w:afterAutospacing="1" w:line="360" w:lineRule="auto"/>
        <w:contextualSpacing/>
        <w:jc w:val="both"/>
        <w:rPr>
          <w:rFonts w:ascii="Arial" w:hAnsi="Arial" w:cs="Arial"/>
        </w:rPr>
      </w:pPr>
    </w:p>
    <w:p w:rsidR="004828F3" w:rsidRPr="003B1FCE" w:rsidRDefault="004828F3" w:rsidP="004828F3">
      <w:pPr>
        <w:spacing w:before="100" w:beforeAutospacing="1" w:after="100" w:afterAutospacing="1" w:line="360" w:lineRule="auto"/>
        <w:contextualSpacing/>
        <w:jc w:val="both"/>
        <w:rPr>
          <w:rFonts w:ascii="Arial" w:hAnsi="Arial" w:cs="Arial"/>
        </w:rPr>
      </w:pPr>
      <w:r w:rsidRPr="003B1FCE">
        <w:rPr>
          <w:rFonts w:ascii="Arial" w:hAnsi="Arial" w:cs="Arial"/>
        </w:rPr>
        <w:t xml:space="preserve">En atención a la Tabla de Aplicabilidad realizada por la DEAEE del Instituto, las obligaciones que los sindicatos deben actualizar y publicar en el SIPOT de la PNT, así como en sus respectivos portales de internet son las contempladas en los siguientes artículos: </w:t>
      </w:r>
    </w:p>
    <w:p w:rsidR="004828F3" w:rsidRPr="003B1FCE" w:rsidRDefault="004828F3" w:rsidP="004828F3">
      <w:pPr>
        <w:pStyle w:val="Prrafodelista"/>
        <w:numPr>
          <w:ilvl w:val="0"/>
          <w:numId w:val="3"/>
        </w:numPr>
        <w:spacing w:before="100" w:beforeAutospacing="1" w:after="100" w:afterAutospacing="1" w:line="360" w:lineRule="auto"/>
        <w:jc w:val="both"/>
        <w:rPr>
          <w:rFonts w:ascii="Arial" w:hAnsi="Arial" w:cs="Arial"/>
          <w:sz w:val="24"/>
          <w:szCs w:val="24"/>
        </w:rPr>
      </w:pPr>
      <w:r w:rsidRPr="003B1FCE">
        <w:rPr>
          <w:rFonts w:ascii="Arial" w:hAnsi="Arial" w:cs="Arial"/>
          <w:sz w:val="24"/>
          <w:szCs w:val="24"/>
        </w:rPr>
        <w:t>Artículo 121. Obligaciones comunes, en los que respecta a las fracciones I-III, XIV, XIX-XX, XXV-XXVI, XXIX, XXXI-XXXII, XXXVI, XXXVIII, XLIII, XLV, XLIX y LII,</w:t>
      </w:r>
    </w:p>
    <w:p w:rsidR="004828F3" w:rsidRPr="003B1FCE" w:rsidRDefault="004828F3" w:rsidP="004828F3">
      <w:pPr>
        <w:pStyle w:val="Prrafodelista"/>
        <w:numPr>
          <w:ilvl w:val="0"/>
          <w:numId w:val="3"/>
        </w:numPr>
        <w:spacing w:before="100" w:beforeAutospacing="1" w:after="100" w:afterAutospacing="1" w:line="360" w:lineRule="auto"/>
        <w:jc w:val="both"/>
        <w:rPr>
          <w:rFonts w:ascii="Arial" w:hAnsi="Arial" w:cs="Arial"/>
          <w:sz w:val="24"/>
          <w:szCs w:val="24"/>
        </w:rPr>
      </w:pPr>
      <w:r w:rsidRPr="003B1FCE">
        <w:rPr>
          <w:rFonts w:ascii="Arial" w:hAnsi="Arial" w:cs="Arial"/>
          <w:sz w:val="24"/>
          <w:szCs w:val="24"/>
        </w:rPr>
        <w:t>Artículo 137. Obligaciones específicas de la Junta de Conciliación y Arbitraje, en lo que respecta a las fracciones II-X,</w:t>
      </w:r>
    </w:p>
    <w:p w:rsidR="004828F3" w:rsidRPr="003B1FCE" w:rsidRDefault="004828F3" w:rsidP="004828F3">
      <w:pPr>
        <w:pStyle w:val="Prrafodelista"/>
        <w:numPr>
          <w:ilvl w:val="0"/>
          <w:numId w:val="3"/>
        </w:numPr>
        <w:spacing w:before="100" w:beforeAutospacing="1" w:after="100" w:afterAutospacing="1" w:line="360" w:lineRule="auto"/>
        <w:jc w:val="both"/>
        <w:rPr>
          <w:rFonts w:ascii="Arial" w:hAnsi="Arial" w:cs="Arial"/>
          <w:sz w:val="24"/>
          <w:szCs w:val="24"/>
        </w:rPr>
      </w:pPr>
      <w:r w:rsidRPr="003B1FCE">
        <w:rPr>
          <w:rFonts w:ascii="Arial" w:hAnsi="Arial" w:cs="Arial"/>
          <w:sz w:val="24"/>
          <w:szCs w:val="24"/>
        </w:rPr>
        <w:t>Artículo 138. Obligaciones específicas de los Sindicatos,</w:t>
      </w:r>
    </w:p>
    <w:p w:rsidR="004828F3" w:rsidRPr="003B1FCE" w:rsidRDefault="004828F3" w:rsidP="004828F3">
      <w:pPr>
        <w:pStyle w:val="Prrafodelista"/>
        <w:numPr>
          <w:ilvl w:val="0"/>
          <w:numId w:val="3"/>
        </w:numPr>
        <w:spacing w:before="100" w:beforeAutospacing="1" w:after="100" w:afterAutospacing="1" w:line="360" w:lineRule="auto"/>
        <w:jc w:val="both"/>
        <w:rPr>
          <w:rFonts w:ascii="Arial" w:hAnsi="Arial" w:cs="Arial"/>
          <w:sz w:val="24"/>
          <w:szCs w:val="24"/>
        </w:rPr>
      </w:pPr>
      <w:r w:rsidRPr="003B1FCE">
        <w:rPr>
          <w:rFonts w:ascii="Arial" w:hAnsi="Arial" w:cs="Arial"/>
          <w:sz w:val="24"/>
          <w:szCs w:val="24"/>
        </w:rPr>
        <w:t>Artículo 145. Disposiciones Particulares,</w:t>
      </w:r>
    </w:p>
    <w:p w:rsidR="004828F3" w:rsidRPr="003B1FCE" w:rsidRDefault="004828F3" w:rsidP="004828F3">
      <w:pPr>
        <w:pStyle w:val="Prrafodelista"/>
        <w:numPr>
          <w:ilvl w:val="0"/>
          <w:numId w:val="3"/>
        </w:numPr>
        <w:spacing w:before="100" w:beforeAutospacing="1" w:after="100" w:afterAutospacing="1" w:line="360" w:lineRule="auto"/>
        <w:jc w:val="both"/>
        <w:rPr>
          <w:rFonts w:ascii="Arial" w:hAnsi="Arial" w:cs="Arial"/>
          <w:sz w:val="24"/>
          <w:szCs w:val="24"/>
        </w:rPr>
      </w:pPr>
      <w:r w:rsidRPr="003B1FCE">
        <w:rPr>
          <w:rFonts w:ascii="Arial" w:hAnsi="Arial" w:cs="Arial"/>
          <w:sz w:val="24"/>
          <w:szCs w:val="24"/>
        </w:rPr>
        <w:t xml:space="preserve">Artículo 146. Disposiciones Particulares, y </w:t>
      </w:r>
    </w:p>
    <w:p w:rsidR="004828F3" w:rsidRPr="003B1FCE" w:rsidRDefault="004828F3" w:rsidP="004828F3">
      <w:pPr>
        <w:pStyle w:val="Prrafodelista"/>
        <w:numPr>
          <w:ilvl w:val="0"/>
          <w:numId w:val="3"/>
        </w:numPr>
        <w:spacing w:before="100" w:beforeAutospacing="1" w:after="100" w:afterAutospacing="1" w:line="360" w:lineRule="auto"/>
        <w:jc w:val="both"/>
        <w:rPr>
          <w:rFonts w:ascii="Arial" w:hAnsi="Arial" w:cs="Arial"/>
          <w:sz w:val="24"/>
          <w:szCs w:val="24"/>
        </w:rPr>
      </w:pPr>
      <w:r w:rsidRPr="003B1FCE">
        <w:rPr>
          <w:rFonts w:ascii="Arial" w:hAnsi="Arial" w:cs="Arial"/>
          <w:sz w:val="24"/>
          <w:szCs w:val="24"/>
        </w:rPr>
        <w:t>Artículo 147. Disposiciones Particulares.</w:t>
      </w:r>
    </w:p>
    <w:p w:rsidR="004828F3" w:rsidRPr="003B1FCE" w:rsidRDefault="004828F3" w:rsidP="00FF7BD9">
      <w:pPr>
        <w:pStyle w:val="Ttulo2"/>
        <w:contextualSpacing/>
        <w:jc w:val="both"/>
        <w:rPr>
          <w:rFonts w:ascii="Arial" w:hAnsi="Arial" w:cs="Arial"/>
          <w:b/>
          <w:color w:val="auto"/>
          <w:sz w:val="24"/>
          <w:szCs w:val="24"/>
        </w:rPr>
      </w:pPr>
      <w:bookmarkStart w:id="29" w:name="_Toc23253007"/>
      <w:bookmarkStart w:id="30" w:name="_Toc26913267"/>
      <w:r w:rsidRPr="003B1FCE">
        <w:rPr>
          <w:rFonts w:ascii="Arial" w:hAnsi="Arial" w:cs="Arial"/>
          <w:b/>
          <w:color w:val="auto"/>
          <w:sz w:val="24"/>
          <w:szCs w:val="24"/>
        </w:rPr>
        <w:t>Análisis global de cumplimiento de los Sindicatos</w:t>
      </w:r>
      <w:bookmarkEnd w:id="29"/>
      <w:bookmarkEnd w:id="30"/>
    </w:p>
    <w:p w:rsidR="004828F3" w:rsidRPr="003B1FCE" w:rsidRDefault="004828F3" w:rsidP="004828F3">
      <w:pPr>
        <w:rPr>
          <w:rFonts w:ascii="Arial" w:hAnsi="Arial" w:cs="Arial"/>
        </w:rPr>
      </w:pPr>
    </w:p>
    <w:p w:rsidR="004828F3" w:rsidRPr="003B1FCE" w:rsidRDefault="004828F3" w:rsidP="004828F3">
      <w:pPr>
        <w:spacing w:before="100" w:beforeAutospacing="1" w:after="100" w:afterAutospacing="1" w:line="360" w:lineRule="auto"/>
        <w:contextualSpacing/>
        <w:jc w:val="both"/>
        <w:rPr>
          <w:rFonts w:ascii="Arial" w:hAnsi="Arial" w:cs="Arial"/>
          <w:u w:val="single"/>
        </w:rPr>
      </w:pPr>
      <w:r w:rsidRPr="003B1FCE">
        <w:rPr>
          <w:rFonts w:ascii="Arial" w:hAnsi="Arial" w:cs="Arial"/>
          <w:u w:val="single"/>
        </w:rPr>
        <w:t>Índices Globales de Cumplimiento de las obligaciones de transparencia</w:t>
      </w:r>
    </w:p>
    <w:p w:rsidR="004828F3" w:rsidRPr="003B1FCE" w:rsidRDefault="004828F3" w:rsidP="004828F3">
      <w:pPr>
        <w:spacing w:before="100" w:beforeAutospacing="1" w:after="100" w:afterAutospacing="1" w:line="360" w:lineRule="auto"/>
        <w:contextualSpacing/>
        <w:jc w:val="both"/>
        <w:rPr>
          <w:rFonts w:ascii="Arial" w:hAnsi="Arial" w:cs="Arial"/>
        </w:rPr>
      </w:pPr>
    </w:p>
    <w:p w:rsidR="004828F3" w:rsidRPr="003B1FCE" w:rsidRDefault="004828F3" w:rsidP="004828F3">
      <w:pPr>
        <w:spacing w:before="100" w:beforeAutospacing="1" w:after="100" w:afterAutospacing="1" w:line="360" w:lineRule="auto"/>
        <w:contextualSpacing/>
        <w:jc w:val="both"/>
        <w:rPr>
          <w:rFonts w:ascii="Arial" w:hAnsi="Arial" w:cs="Arial"/>
        </w:rPr>
      </w:pPr>
      <w:r w:rsidRPr="003B1FCE">
        <w:rPr>
          <w:rFonts w:ascii="Arial" w:hAnsi="Arial" w:cs="Arial"/>
        </w:rPr>
        <w:t>El ámbito de los Sindicatos obtuvo un IGOT de 31.70%, el cual está compuesto por un índice de 33.41% en lo que corresponde a la Plataforma Nacional de Transparencia (PNT) y un índice de 30% en lo que se refiere al Portal de Transparencia (</w:t>
      </w:r>
      <w:r w:rsidR="00677E37" w:rsidRPr="003B1FCE">
        <w:rPr>
          <w:rFonts w:ascii="Arial" w:hAnsi="Arial" w:cs="Arial"/>
        </w:rPr>
        <w:t>PI</w:t>
      </w:r>
      <w:r w:rsidRPr="003B1FCE">
        <w:rPr>
          <w:rFonts w:ascii="Arial" w:hAnsi="Arial" w:cs="Arial"/>
        </w:rPr>
        <w:t xml:space="preserve">). </w:t>
      </w:r>
    </w:p>
    <w:p w:rsidR="004828F3" w:rsidRPr="003B1FCE" w:rsidRDefault="004828F3" w:rsidP="004828F3">
      <w:pPr>
        <w:spacing w:before="100" w:beforeAutospacing="1" w:after="100" w:afterAutospacing="1" w:line="360" w:lineRule="auto"/>
        <w:contextualSpacing/>
        <w:jc w:val="both"/>
        <w:rPr>
          <w:rFonts w:ascii="Arial" w:hAnsi="Arial" w:cs="Arial"/>
        </w:rPr>
      </w:pPr>
    </w:p>
    <w:p w:rsidR="004828F3" w:rsidRPr="003B1FCE" w:rsidRDefault="004828F3" w:rsidP="004828F3">
      <w:pPr>
        <w:spacing w:before="100" w:beforeAutospacing="1" w:after="100" w:afterAutospacing="1" w:line="360" w:lineRule="auto"/>
        <w:contextualSpacing/>
        <w:jc w:val="both"/>
        <w:rPr>
          <w:rFonts w:ascii="Arial" w:hAnsi="Arial" w:cs="Arial"/>
        </w:rPr>
      </w:pPr>
      <w:r w:rsidRPr="003B1FCE">
        <w:rPr>
          <w:rFonts w:ascii="Arial" w:hAnsi="Arial" w:cs="Arial"/>
        </w:rPr>
        <w:t xml:space="preserve">El IGOT de este ámbito refleja que 14 sindicatos únicamente están cumpliendo con la obligación de contar con una página de transparencia, aunque en la misma no existe información alguna; dos sindicatos se encuentran con un incumplimiento </w:t>
      </w:r>
      <w:r w:rsidRPr="003B1FCE">
        <w:rPr>
          <w:rFonts w:ascii="Arial" w:hAnsi="Arial" w:cs="Arial"/>
        </w:rPr>
        <w:lastRenderedPageBreak/>
        <w:t xml:space="preserve">parcial debido a que en la gran mayoría de sus fracciones no cuentan con información y cinco sindicatos obtuvieron un cumplimiento parcial superior a 80%. </w:t>
      </w:r>
    </w:p>
    <w:p w:rsidR="004828F3" w:rsidRPr="003B1FCE" w:rsidRDefault="004828F3" w:rsidP="004828F3">
      <w:pPr>
        <w:spacing w:before="100" w:beforeAutospacing="1" w:after="100" w:afterAutospacing="1" w:line="360" w:lineRule="auto"/>
        <w:contextualSpacing/>
        <w:jc w:val="both"/>
        <w:rPr>
          <w:rFonts w:ascii="Arial" w:hAnsi="Arial" w:cs="Arial"/>
        </w:rPr>
      </w:pPr>
    </w:p>
    <w:p w:rsidR="004828F3" w:rsidRPr="003B1FCE" w:rsidRDefault="004828F3" w:rsidP="004828F3">
      <w:pPr>
        <w:spacing w:before="100" w:beforeAutospacing="1" w:after="100" w:afterAutospacing="1" w:line="360" w:lineRule="auto"/>
        <w:contextualSpacing/>
        <w:jc w:val="both"/>
        <w:rPr>
          <w:rFonts w:ascii="Arial" w:hAnsi="Arial" w:cs="Arial"/>
        </w:rPr>
      </w:pPr>
      <w:r w:rsidRPr="003B1FCE">
        <w:rPr>
          <w:rFonts w:ascii="Arial" w:hAnsi="Arial" w:cs="Arial"/>
        </w:rPr>
        <w:t xml:space="preserve">Con relación a la Primera Evaluación Vinculante 2019, este ámbito no tuvo una mejoría sustantiva, puesto que pasó de tener un IGOT de 24.81% a uno de 31.70%; por lo que se encuentra en un incumplimiento parcial de las obligaciones de transparencia de la Ley de Transparencia Local. </w:t>
      </w:r>
    </w:p>
    <w:p w:rsidR="004828F3" w:rsidRPr="003B1FCE" w:rsidRDefault="004828F3" w:rsidP="004828F3">
      <w:pPr>
        <w:spacing w:before="100" w:beforeAutospacing="1" w:after="100" w:afterAutospacing="1" w:line="360" w:lineRule="auto"/>
        <w:contextualSpacing/>
        <w:jc w:val="both"/>
        <w:rPr>
          <w:rFonts w:ascii="Arial" w:hAnsi="Arial" w:cs="Arial"/>
        </w:rPr>
      </w:pPr>
    </w:p>
    <w:p w:rsidR="004828F3" w:rsidRPr="003B1FCE" w:rsidRDefault="004828F3" w:rsidP="004828F3">
      <w:pPr>
        <w:spacing w:before="100" w:beforeAutospacing="1" w:after="100" w:afterAutospacing="1" w:line="360" w:lineRule="auto"/>
        <w:contextualSpacing/>
        <w:jc w:val="both"/>
        <w:rPr>
          <w:rFonts w:ascii="Arial" w:hAnsi="Arial" w:cs="Arial"/>
          <w:u w:val="single"/>
        </w:rPr>
      </w:pPr>
      <w:r w:rsidRPr="003B1FCE">
        <w:rPr>
          <w:rFonts w:ascii="Arial" w:hAnsi="Arial" w:cs="Arial"/>
          <w:u w:val="single"/>
        </w:rPr>
        <w:t xml:space="preserve">Cumplimiento diferenciado por artículos </w:t>
      </w:r>
    </w:p>
    <w:p w:rsidR="004828F3" w:rsidRPr="003B1FCE" w:rsidRDefault="004828F3" w:rsidP="004828F3">
      <w:pPr>
        <w:spacing w:before="100" w:beforeAutospacing="1" w:after="100" w:afterAutospacing="1" w:line="360" w:lineRule="auto"/>
        <w:contextualSpacing/>
        <w:jc w:val="both"/>
        <w:rPr>
          <w:rFonts w:ascii="Arial" w:hAnsi="Arial" w:cs="Arial"/>
          <w:u w:val="single"/>
        </w:rPr>
      </w:pPr>
    </w:p>
    <w:p w:rsidR="004828F3" w:rsidRPr="003B1FCE" w:rsidRDefault="004828F3" w:rsidP="004828F3">
      <w:pPr>
        <w:spacing w:before="100" w:beforeAutospacing="1" w:after="100" w:afterAutospacing="1" w:line="360" w:lineRule="auto"/>
        <w:contextualSpacing/>
        <w:jc w:val="both"/>
        <w:rPr>
          <w:rFonts w:ascii="Arial" w:hAnsi="Arial" w:cs="Arial"/>
        </w:rPr>
      </w:pPr>
      <w:r w:rsidRPr="003B1FCE">
        <w:rPr>
          <w:rFonts w:ascii="Arial" w:hAnsi="Arial" w:cs="Arial"/>
        </w:rPr>
        <w:t xml:space="preserve">Con relación al tipo de obligaciones de transparencia, este ámbito ha incumplido parcialmente en sus obligaciones comunes, específicas y disposiciones particulares, obteniendo un Índice de Cumplimiento Promedio (ICP) de 25.57%, 25.21% y 41.94%, respectivamente. </w:t>
      </w:r>
    </w:p>
    <w:p w:rsidR="004828F3" w:rsidRPr="003B1FCE" w:rsidRDefault="004828F3" w:rsidP="004828F3">
      <w:pPr>
        <w:spacing w:before="100" w:beforeAutospacing="1" w:after="100" w:afterAutospacing="1" w:line="360" w:lineRule="auto"/>
        <w:contextualSpacing/>
        <w:jc w:val="both"/>
        <w:rPr>
          <w:rFonts w:ascii="Arial" w:hAnsi="Arial" w:cs="Arial"/>
        </w:rPr>
      </w:pPr>
    </w:p>
    <w:p w:rsidR="004828F3" w:rsidRPr="003B1FCE" w:rsidRDefault="004828F3" w:rsidP="004828F3">
      <w:pPr>
        <w:spacing w:before="100" w:beforeAutospacing="1" w:after="100" w:afterAutospacing="1" w:line="360" w:lineRule="auto"/>
        <w:contextualSpacing/>
        <w:jc w:val="both"/>
        <w:rPr>
          <w:rFonts w:ascii="Arial" w:hAnsi="Arial" w:cs="Arial"/>
        </w:rPr>
      </w:pPr>
      <w:r w:rsidRPr="003B1FCE">
        <w:rPr>
          <w:rFonts w:ascii="Arial" w:hAnsi="Arial" w:cs="Arial"/>
        </w:rPr>
        <w:t xml:space="preserve">En esta misma línea, por artículo obtuvieron los siguientes índices con relación a la Primera Evaluación Vinculante: </w:t>
      </w:r>
    </w:p>
    <w:tbl>
      <w:tblPr>
        <w:tblStyle w:val="Tablaconcuadrcula"/>
        <w:tblW w:w="0" w:type="auto"/>
        <w:tblLook w:val="04A0" w:firstRow="1" w:lastRow="0" w:firstColumn="1" w:lastColumn="0" w:noHBand="0" w:noVBand="1"/>
      </w:tblPr>
      <w:tblGrid>
        <w:gridCol w:w="3659"/>
        <w:gridCol w:w="2148"/>
        <w:gridCol w:w="2092"/>
        <w:gridCol w:w="12"/>
        <w:gridCol w:w="908"/>
      </w:tblGrid>
      <w:tr w:rsidR="004828F3" w:rsidRPr="003B1FCE" w:rsidTr="00B018FB">
        <w:tc>
          <w:tcPr>
            <w:tcW w:w="3659" w:type="dxa"/>
            <w:shd w:val="clear" w:color="auto" w:fill="ED7D31" w:themeFill="accent2"/>
          </w:tcPr>
          <w:p w:rsidR="004828F3" w:rsidRPr="003B1FCE" w:rsidRDefault="004828F3" w:rsidP="001F7251">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Artículo</w:t>
            </w:r>
          </w:p>
        </w:tc>
        <w:tc>
          <w:tcPr>
            <w:tcW w:w="2148" w:type="dxa"/>
            <w:shd w:val="clear" w:color="auto" w:fill="ED7D31" w:themeFill="accent2"/>
          </w:tcPr>
          <w:p w:rsidR="004828F3" w:rsidRPr="003B1FCE" w:rsidRDefault="004828F3" w:rsidP="001F7251">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ICP – 1ª Evaluación</w:t>
            </w:r>
          </w:p>
        </w:tc>
        <w:tc>
          <w:tcPr>
            <w:tcW w:w="2092" w:type="dxa"/>
            <w:shd w:val="clear" w:color="auto" w:fill="ED7D31" w:themeFill="accent2"/>
          </w:tcPr>
          <w:p w:rsidR="004828F3" w:rsidRPr="003B1FCE" w:rsidRDefault="004828F3" w:rsidP="001F7251">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ICP – 3ª Evaluación</w:t>
            </w:r>
          </w:p>
        </w:tc>
        <w:tc>
          <w:tcPr>
            <w:tcW w:w="743" w:type="dxa"/>
            <w:gridSpan w:val="2"/>
            <w:shd w:val="clear" w:color="auto" w:fill="ED7D31" w:themeFill="accent2"/>
          </w:tcPr>
          <w:p w:rsidR="004828F3" w:rsidRPr="003B1FCE" w:rsidRDefault="004828F3" w:rsidP="001F7251">
            <w:pPr>
              <w:spacing w:before="100" w:beforeAutospacing="1" w:after="100" w:afterAutospacing="1" w:line="360" w:lineRule="auto"/>
              <w:contextualSpacing/>
              <w:jc w:val="center"/>
              <w:rPr>
                <w:rFonts w:ascii="Arial" w:hAnsi="Arial" w:cs="Arial"/>
                <w:b/>
                <w:bCs/>
                <w:sz w:val="20"/>
                <w:szCs w:val="20"/>
              </w:rPr>
            </w:pPr>
            <w:r w:rsidRPr="003B1FCE">
              <w:rPr>
                <w:rFonts w:ascii="Arial" w:hAnsi="Arial" w:cs="Arial"/>
                <w:b/>
                <w:bCs/>
                <w:sz w:val="20"/>
                <w:szCs w:val="20"/>
              </w:rPr>
              <w:t>Mejoría</w:t>
            </w:r>
          </w:p>
        </w:tc>
      </w:tr>
      <w:tr w:rsidR="004828F3" w:rsidRPr="003B1FCE" w:rsidTr="001F7251">
        <w:tc>
          <w:tcPr>
            <w:tcW w:w="3659" w:type="dxa"/>
          </w:tcPr>
          <w:p w:rsidR="004828F3" w:rsidRPr="003B1FCE" w:rsidRDefault="004828F3" w:rsidP="001F7251">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121 – Obligaciones Comunes</w:t>
            </w:r>
          </w:p>
        </w:tc>
        <w:tc>
          <w:tcPr>
            <w:tcW w:w="2148" w:type="dxa"/>
          </w:tcPr>
          <w:p w:rsidR="004828F3" w:rsidRPr="003B1FCE" w:rsidRDefault="004828F3" w:rsidP="001F7251">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18.09%</w:t>
            </w:r>
          </w:p>
        </w:tc>
        <w:tc>
          <w:tcPr>
            <w:tcW w:w="2104" w:type="dxa"/>
            <w:gridSpan w:val="2"/>
          </w:tcPr>
          <w:p w:rsidR="004828F3" w:rsidRPr="003B1FCE" w:rsidRDefault="004828F3" w:rsidP="001F7251">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25.57%</w:t>
            </w:r>
          </w:p>
        </w:tc>
        <w:tc>
          <w:tcPr>
            <w:tcW w:w="731" w:type="dxa"/>
          </w:tcPr>
          <w:p w:rsidR="004828F3" w:rsidRPr="003B1FCE" w:rsidRDefault="004828F3" w:rsidP="001F7251">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7.48%</w:t>
            </w:r>
          </w:p>
        </w:tc>
      </w:tr>
      <w:tr w:rsidR="004828F3" w:rsidRPr="003B1FCE" w:rsidTr="001F7251">
        <w:tc>
          <w:tcPr>
            <w:tcW w:w="3659" w:type="dxa"/>
          </w:tcPr>
          <w:p w:rsidR="004828F3" w:rsidRPr="003B1FCE" w:rsidRDefault="004828F3" w:rsidP="001F7251">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 xml:space="preserve">137 – Obligaciones Específicas </w:t>
            </w:r>
          </w:p>
        </w:tc>
        <w:tc>
          <w:tcPr>
            <w:tcW w:w="2148" w:type="dxa"/>
          </w:tcPr>
          <w:p w:rsidR="004828F3" w:rsidRPr="003B1FCE" w:rsidRDefault="004828F3" w:rsidP="001F7251">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19.90%</w:t>
            </w:r>
          </w:p>
        </w:tc>
        <w:tc>
          <w:tcPr>
            <w:tcW w:w="2104" w:type="dxa"/>
            <w:gridSpan w:val="2"/>
          </w:tcPr>
          <w:p w:rsidR="004828F3" w:rsidRPr="003B1FCE" w:rsidRDefault="004828F3" w:rsidP="001F7251">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24.99%</w:t>
            </w:r>
          </w:p>
        </w:tc>
        <w:tc>
          <w:tcPr>
            <w:tcW w:w="731" w:type="dxa"/>
          </w:tcPr>
          <w:p w:rsidR="004828F3" w:rsidRPr="003B1FCE" w:rsidRDefault="004828F3" w:rsidP="001F7251">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5.09%</w:t>
            </w:r>
          </w:p>
        </w:tc>
      </w:tr>
      <w:tr w:rsidR="004828F3" w:rsidRPr="003B1FCE" w:rsidTr="001F7251">
        <w:tc>
          <w:tcPr>
            <w:tcW w:w="3659" w:type="dxa"/>
          </w:tcPr>
          <w:p w:rsidR="004828F3" w:rsidRPr="003B1FCE" w:rsidRDefault="004828F3" w:rsidP="001F7251">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 xml:space="preserve">138 – Obligaciones Específicas </w:t>
            </w:r>
          </w:p>
        </w:tc>
        <w:tc>
          <w:tcPr>
            <w:tcW w:w="2148" w:type="dxa"/>
          </w:tcPr>
          <w:p w:rsidR="004828F3" w:rsidRPr="003B1FCE" w:rsidRDefault="004828F3" w:rsidP="001F7251">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21.05%</w:t>
            </w:r>
          </w:p>
        </w:tc>
        <w:tc>
          <w:tcPr>
            <w:tcW w:w="2104" w:type="dxa"/>
            <w:gridSpan w:val="2"/>
          </w:tcPr>
          <w:p w:rsidR="004828F3" w:rsidRPr="003B1FCE" w:rsidRDefault="004828F3" w:rsidP="001F7251">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25.43%</w:t>
            </w:r>
          </w:p>
        </w:tc>
        <w:tc>
          <w:tcPr>
            <w:tcW w:w="731" w:type="dxa"/>
          </w:tcPr>
          <w:p w:rsidR="004828F3" w:rsidRPr="003B1FCE" w:rsidRDefault="004828F3" w:rsidP="001F7251">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4.38%</w:t>
            </w:r>
          </w:p>
        </w:tc>
      </w:tr>
      <w:tr w:rsidR="004828F3" w:rsidRPr="003B1FCE" w:rsidTr="001F7251">
        <w:tc>
          <w:tcPr>
            <w:tcW w:w="3659" w:type="dxa"/>
          </w:tcPr>
          <w:p w:rsidR="004828F3" w:rsidRPr="003B1FCE" w:rsidRDefault="004828F3" w:rsidP="001F7251">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145 – Portal de Transparencia</w:t>
            </w:r>
          </w:p>
        </w:tc>
        <w:tc>
          <w:tcPr>
            <w:tcW w:w="2148" w:type="dxa"/>
          </w:tcPr>
          <w:p w:rsidR="004828F3" w:rsidRPr="003B1FCE" w:rsidRDefault="004828F3" w:rsidP="001F7251">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27.38%</w:t>
            </w:r>
          </w:p>
        </w:tc>
        <w:tc>
          <w:tcPr>
            <w:tcW w:w="2104" w:type="dxa"/>
            <w:gridSpan w:val="2"/>
          </w:tcPr>
          <w:p w:rsidR="004828F3" w:rsidRPr="003B1FCE" w:rsidRDefault="004828F3" w:rsidP="001F7251">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66.66%</w:t>
            </w:r>
          </w:p>
        </w:tc>
        <w:tc>
          <w:tcPr>
            <w:tcW w:w="731" w:type="dxa"/>
          </w:tcPr>
          <w:p w:rsidR="004828F3" w:rsidRPr="003B1FCE" w:rsidRDefault="004828F3" w:rsidP="001F7251">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39.28%</w:t>
            </w:r>
          </w:p>
        </w:tc>
      </w:tr>
      <w:tr w:rsidR="004828F3" w:rsidRPr="003B1FCE" w:rsidTr="001F7251">
        <w:tc>
          <w:tcPr>
            <w:tcW w:w="3659" w:type="dxa"/>
          </w:tcPr>
          <w:p w:rsidR="004828F3" w:rsidRPr="003B1FCE" w:rsidRDefault="004828F3" w:rsidP="001F7251">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146 – Calendario de actualización</w:t>
            </w:r>
          </w:p>
        </w:tc>
        <w:tc>
          <w:tcPr>
            <w:tcW w:w="2148" w:type="dxa"/>
          </w:tcPr>
          <w:p w:rsidR="004828F3" w:rsidRPr="003B1FCE" w:rsidRDefault="004828F3" w:rsidP="001F7251">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18.70%</w:t>
            </w:r>
          </w:p>
        </w:tc>
        <w:tc>
          <w:tcPr>
            <w:tcW w:w="2104" w:type="dxa"/>
            <w:gridSpan w:val="2"/>
          </w:tcPr>
          <w:p w:rsidR="004828F3" w:rsidRPr="003B1FCE" w:rsidRDefault="004828F3" w:rsidP="001F7251">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25.84%</w:t>
            </w:r>
          </w:p>
        </w:tc>
        <w:tc>
          <w:tcPr>
            <w:tcW w:w="731" w:type="dxa"/>
          </w:tcPr>
          <w:p w:rsidR="004828F3" w:rsidRPr="003B1FCE" w:rsidRDefault="004828F3" w:rsidP="001F7251">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7.14%</w:t>
            </w:r>
          </w:p>
        </w:tc>
      </w:tr>
      <w:tr w:rsidR="004828F3" w:rsidRPr="003B1FCE" w:rsidTr="001F7251">
        <w:tc>
          <w:tcPr>
            <w:tcW w:w="3659" w:type="dxa"/>
          </w:tcPr>
          <w:p w:rsidR="004828F3" w:rsidRPr="003B1FCE" w:rsidRDefault="004828F3" w:rsidP="001F7251">
            <w:pPr>
              <w:spacing w:before="100" w:beforeAutospacing="1" w:after="100" w:afterAutospacing="1" w:line="360" w:lineRule="auto"/>
              <w:contextualSpacing/>
              <w:rPr>
                <w:rFonts w:ascii="Arial" w:hAnsi="Arial" w:cs="Arial"/>
                <w:b/>
                <w:bCs/>
                <w:sz w:val="20"/>
                <w:szCs w:val="20"/>
              </w:rPr>
            </w:pPr>
            <w:r w:rsidRPr="003B1FCE">
              <w:rPr>
                <w:rFonts w:ascii="Arial" w:hAnsi="Arial" w:cs="Arial"/>
                <w:b/>
                <w:bCs/>
                <w:sz w:val="20"/>
                <w:szCs w:val="20"/>
              </w:rPr>
              <w:t xml:space="preserve">147 – Informes respecto de recursos otorgados por el sujeto obligado a terceros </w:t>
            </w:r>
          </w:p>
        </w:tc>
        <w:tc>
          <w:tcPr>
            <w:tcW w:w="2148" w:type="dxa"/>
          </w:tcPr>
          <w:p w:rsidR="004828F3" w:rsidRPr="003B1FCE" w:rsidRDefault="004828F3" w:rsidP="001F7251">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14.29%</w:t>
            </w:r>
          </w:p>
        </w:tc>
        <w:tc>
          <w:tcPr>
            <w:tcW w:w="2104" w:type="dxa"/>
            <w:gridSpan w:val="2"/>
          </w:tcPr>
          <w:p w:rsidR="004828F3" w:rsidRPr="003B1FCE" w:rsidRDefault="004828F3" w:rsidP="001F7251">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33.33%</w:t>
            </w:r>
          </w:p>
        </w:tc>
        <w:tc>
          <w:tcPr>
            <w:tcW w:w="731" w:type="dxa"/>
          </w:tcPr>
          <w:p w:rsidR="004828F3" w:rsidRPr="003B1FCE" w:rsidRDefault="004828F3" w:rsidP="001F7251">
            <w:pPr>
              <w:spacing w:before="100" w:beforeAutospacing="1" w:after="100" w:afterAutospacing="1" w:line="360" w:lineRule="auto"/>
              <w:contextualSpacing/>
              <w:jc w:val="center"/>
              <w:rPr>
                <w:rFonts w:ascii="Arial" w:hAnsi="Arial" w:cs="Arial"/>
                <w:sz w:val="20"/>
                <w:szCs w:val="20"/>
              </w:rPr>
            </w:pPr>
            <w:r w:rsidRPr="003B1FCE">
              <w:rPr>
                <w:rFonts w:ascii="Arial" w:hAnsi="Arial" w:cs="Arial"/>
                <w:sz w:val="20"/>
                <w:szCs w:val="20"/>
              </w:rPr>
              <w:t>19.04%</w:t>
            </w:r>
          </w:p>
        </w:tc>
      </w:tr>
    </w:tbl>
    <w:p w:rsidR="004828F3" w:rsidRPr="003B1FCE" w:rsidRDefault="004828F3" w:rsidP="004828F3">
      <w:pPr>
        <w:spacing w:before="100" w:beforeAutospacing="1" w:after="100" w:afterAutospacing="1" w:line="360" w:lineRule="auto"/>
        <w:contextualSpacing/>
        <w:jc w:val="both"/>
        <w:rPr>
          <w:rFonts w:ascii="Arial" w:hAnsi="Arial" w:cs="Arial"/>
        </w:rPr>
      </w:pPr>
    </w:p>
    <w:p w:rsidR="004828F3" w:rsidRPr="003B1FCE" w:rsidRDefault="004828F3" w:rsidP="004828F3">
      <w:pPr>
        <w:spacing w:before="100" w:beforeAutospacing="1" w:after="100" w:afterAutospacing="1" w:line="360" w:lineRule="auto"/>
        <w:contextualSpacing/>
        <w:jc w:val="both"/>
        <w:rPr>
          <w:rFonts w:ascii="Arial" w:hAnsi="Arial" w:cs="Arial"/>
        </w:rPr>
      </w:pPr>
      <w:r w:rsidRPr="003B1FCE">
        <w:rPr>
          <w:rFonts w:ascii="Arial" w:hAnsi="Arial" w:cs="Arial"/>
        </w:rPr>
        <w:t>De las obligaciones de transparencia que le son aplicables a los Sindicatos, la obligación plasmada en el artículo 145, consistente en tener un Portal de Transparencia</w:t>
      </w:r>
      <w:r w:rsidR="00677E37" w:rsidRPr="003B1FCE">
        <w:rPr>
          <w:rFonts w:ascii="Arial" w:hAnsi="Arial" w:cs="Arial"/>
        </w:rPr>
        <w:t>,</w:t>
      </w:r>
      <w:r w:rsidRPr="003B1FCE">
        <w:rPr>
          <w:rFonts w:ascii="Arial" w:hAnsi="Arial" w:cs="Arial"/>
        </w:rPr>
        <w:t xml:space="preserve"> es</w:t>
      </w:r>
      <w:r w:rsidR="00677E37" w:rsidRPr="003B1FCE">
        <w:rPr>
          <w:rFonts w:ascii="Arial" w:hAnsi="Arial" w:cs="Arial"/>
        </w:rPr>
        <w:t xml:space="preserve"> la</w:t>
      </w:r>
      <w:r w:rsidRPr="003B1FCE">
        <w:rPr>
          <w:rFonts w:ascii="Arial" w:hAnsi="Arial" w:cs="Arial"/>
        </w:rPr>
        <w:t xml:space="preserve"> únic</w:t>
      </w:r>
      <w:r w:rsidR="00677E37" w:rsidRPr="003B1FCE">
        <w:rPr>
          <w:rFonts w:ascii="Arial" w:hAnsi="Arial" w:cs="Arial"/>
        </w:rPr>
        <w:t>a</w:t>
      </w:r>
      <w:r w:rsidRPr="003B1FCE">
        <w:rPr>
          <w:rFonts w:ascii="Arial" w:hAnsi="Arial" w:cs="Arial"/>
        </w:rPr>
        <w:t xml:space="preserve"> que se encuentra ubicad</w:t>
      </w:r>
      <w:r w:rsidR="00677E37" w:rsidRPr="003B1FCE">
        <w:rPr>
          <w:rFonts w:ascii="Arial" w:hAnsi="Arial" w:cs="Arial"/>
        </w:rPr>
        <w:t>a</w:t>
      </w:r>
      <w:r w:rsidRPr="003B1FCE">
        <w:rPr>
          <w:rFonts w:ascii="Arial" w:hAnsi="Arial" w:cs="Arial"/>
        </w:rPr>
        <w:t xml:space="preserve"> en un cumplimiento parcial y sobre el cual hubo un mayor incremento en el cumplimiento, comparado con la </w:t>
      </w:r>
      <w:r w:rsidRPr="003B1FCE">
        <w:rPr>
          <w:rFonts w:ascii="Arial" w:hAnsi="Arial" w:cs="Arial"/>
        </w:rPr>
        <w:lastRenderedPageBreak/>
        <w:t>primera obligación. Las demás obligaciones se encuentran ubicadas en un incumplimiento parcial y tuvieron un promedio de incremento de 8.62%.</w:t>
      </w:r>
    </w:p>
    <w:p w:rsidR="004828F3" w:rsidRPr="003B1FCE" w:rsidRDefault="004828F3" w:rsidP="004828F3">
      <w:pPr>
        <w:spacing w:before="100" w:beforeAutospacing="1" w:after="100" w:afterAutospacing="1" w:line="360" w:lineRule="auto"/>
        <w:contextualSpacing/>
        <w:jc w:val="both"/>
        <w:rPr>
          <w:rFonts w:ascii="Arial" w:hAnsi="Arial" w:cs="Arial"/>
        </w:rPr>
      </w:pPr>
    </w:p>
    <w:p w:rsidR="004828F3" w:rsidRPr="003B1FCE" w:rsidRDefault="004828F3" w:rsidP="004828F3">
      <w:pPr>
        <w:spacing w:before="100" w:beforeAutospacing="1" w:after="100" w:afterAutospacing="1" w:line="360" w:lineRule="auto"/>
        <w:contextualSpacing/>
        <w:jc w:val="both"/>
        <w:rPr>
          <w:rFonts w:ascii="Arial" w:hAnsi="Arial" w:cs="Arial"/>
          <w:b/>
          <w:bCs/>
        </w:rPr>
      </w:pPr>
      <w:r w:rsidRPr="003B1FCE">
        <w:rPr>
          <w:rFonts w:ascii="Arial" w:hAnsi="Arial" w:cs="Arial"/>
          <w:b/>
          <w:bCs/>
        </w:rPr>
        <w:t>Comparativo de índices entre la Primera Evaluación Vinculante 2019 y la Tercera Evaluación Vinculante 2019</w:t>
      </w:r>
    </w:p>
    <w:tbl>
      <w:tblPr>
        <w:tblW w:w="8926" w:type="dxa"/>
        <w:tblCellMar>
          <w:left w:w="70" w:type="dxa"/>
          <w:right w:w="70" w:type="dxa"/>
        </w:tblCellMar>
        <w:tblLook w:val="04A0" w:firstRow="1" w:lastRow="0" w:firstColumn="1" w:lastColumn="0" w:noHBand="0" w:noVBand="1"/>
      </w:tblPr>
      <w:tblGrid>
        <w:gridCol w:w="463"/>
        <w:gridCol w:w="4352"/>
        <w:gridCol w:w="1559"/>
        <w:gridCol w:w="1703"/>
        <w:gridCol w:w="849"/>
      </w:tblGrid>
      <w:tr w:rsidR="004828F3" w:rsidRPr="003B1FCE" w:rsidTr="00B018FB">
        <w:trPr>
          <w:trHeight w:val="860"/>
          <w:tblHeader/>
        </w:trPr>
        <w:tc>
          <w:tcPr>
            <w:tcW w:w="8926" w:type="dxa"/>
            <w:gridSpan w:val="5"/>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4828F3" w:rsidRPr="003B1FCE" w:rsidRDefault="004828F3" w:rsidP="001F7251">
            <w:pPr>
              <w:jc w:val="center"/>
              <w:rPr>
                <w:rFonts w:ascii="Arial" w:hAnsi="Arial" w:cs="Arial"/>
                <w:b/>
                <w:bCs/>
                <w:color w:val="000000"/>
                <w:sz w:val="20"/>
                <w:szCs w:val="20"/>
              </w:rPr>
            </w:pPr>
            <w:r w:rsidRPr="003B1FCE">
              <w:rPr>
                <w:rFonts w:ascii="Arial" w:hAnsi="Arial" w:cs="Arial"/>
                <w:b/>
                <w:bCs/>
                <w:color w:val="000000"/>
                <w:sz w:val="20"/>
                <w:szCs w:val="20"/>
              </w:rPr>
              <w:t>Resultados de la Tercera Evaluación Vinculante 2019, respecto de las recomendaciones y observaciones de la Primera Evaluación Vinculante 2019</w:t>
            </w:r>
          </w:p>
        </w:tc>
      </w:tr>
      <w:tr w:rsidR="004828F3" w:rsidRPr="003B1FCE" w:rsidTr="00B018FB">
        <w:trPr>
          <w:trHeight w:val="340"/>
          <w:tblHeader/>
        </w:trPr>
        <w:tc>
          <w:tcPr>
            <w:tcW w:w="463" w:type="dxa"/>
            <w:tcBorders>
              <w:top w:val="nil"/>
              <w:left w:val="single" w:sz="4" w:space="0" w:color="auto"/>
              <w:bottom w:val="single" w:sz="4" w:space="0" w:color="auto"/>
              <w:right w:val="single" w:sz="4" w:space="0" w:color="auto"/>
            </w:tcBorders>
            <w:shd w:val="clear" w:color="auto" w:fill="ED7D31" w:themeFill="accent2"/>
            <w:vAlign w:val="center"/>
            <w:hideMark/>
          </w:tcPr>
          <w:p w:rsidR="004828F3" w:rsidRPr="003B1FCE" w:rsidRDefault="004828F3" w:rsidP="001F7251">
            <w:pPr>
              <w:jc w:val="center"/>
              <w:rPr>
                <w:rFonts w:ascii="Arial" w:hAnsi="Arial" w:cs="Arial"/>
                <w:b/>
                <w:bCs/>
                <w:color w:val="000000"/>
                <w:sz w:val="20"/>
                <w:szCs w:val="20"/>
              </w:rPr>
            </w:pPr>
            <w:r w:rsidRPr="003B1FCE">
              <w:rPr>
                <w:rFonts w:ascii="Arial" w:hAnsi="Arial" w:cs="Arial"/>
                <w:b/>
                <w:bCs/>
                <w:color w:val="000000"/>
                <w:sz w:val="20"/>
                <w:szCs w:val="20"/>
              </w:rPr>
              <w:t>No.</w:t>
            </w:r>
          </w:p>
        </w:tc>
        <w:tc>
          <w:tcPr>
            <w:tcW w:w="4352" w:type="dxa"/>
            <w:tcBorders>
              <w:top w:val="nil"/>
              <w:left w:val="nil"/>
              <w:bottom w:val="single" w:sz="4" w:space="0" w:color="auto"/>
              <w:right w:val="single" w:sz="4" w:space="0" w:color="auto"/>
            </w:tcBorders>
            <w:shd w:val="clear" w:color="auto" w:fill="ED7D31" w:themeFill="accent2"/>
            <w:vAlign w:val="center"/>
            <w:hideMark/>
          </w:tcPr>
          <w:p w:rsidR="004828F3" w:rsidRPr="003B1FCE" w:rsidRDefault="004828F3" w:rsidP="001F7251">
            <w:pPr>
              <w:jc w:val="center"/>
              <w:rPr>
                <w:rFonts w:ascii="Arial" w:hAnsi="Arial" w:cs="Arial"/>
                <w:b/>
                <w:bCs/>
                <w:color w:val="000000"/>
                <w:sz w:val="20"/>
                <w:szCs w:val="20"/>
              </w:rPr>
            </w:pPr>
            <w:r w:rsidRPr="003B1FCE">
              <w:rPr>
                <w:rFonts w:ascii="Arial" w:hAnsi="Arial" w:cs="Arial"/>
                <w:b/>
                <w:bCs/>
                <w:color w:val="000000"/>
                <w:sz w:val="20"/>
                <w:szCs w:val="20"/>
              </w:rPr>
              <w:t>Sujeto obligado</w:t>
            </w:r>
          </w:p>
        </w:tc>
        <w:tc>
          <w:tcPr>
            <w:tcW w:w="1559" w:type="dxa"/>
            <w:tcBorders>
              <w:top w:val="nil"/>
              <w:left w:val="nil"/>
              <w:bottom w:val="single" w:sz="4" w:space="0" w:color="auto"/>
              <w:right w:val="single" w:sz="4" w:space="0" w:color="auto"/>
            </w:tcBorders>
            <w:shd w:val="clear" w:color="auto" w:fill="ED7D31" w:themeFill="accent2"/>
            <w:vAlign w:val="center"/>
            <w:hideMark/>
          </w:tcPr>
          <w:p w:rsidR="004828F3" w:rsidRPr="003B1FCE" w:rsidRDefault="004828F3" w:rsidP="001F7251">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1a Evaluación Vinculante 2019, respecto del ejercicio 2018</w:t>
            </w:r>
          </w:p>
        </w:tc>
        <w:tc>
          <w:tcPr>
            <w:tcW w:w="1703" w:type="dxa"/>
            <w:tcBorders>
              <w:top w:val="nil"/>
              <w:left w:val="nil"/>
              <w:bottom w:val="single" w:sz="4" w:space="0" w:color="auto"/>
              <w:right w:val="single" w:sz="4" w:space="0" w:color="auto"/>
            </w:tcBorders>
            <w:shd w:val="clear" w:color="auto" w:fill="ED7D31" w:themeFill="accent2"/>
            <w:vAlign w:val="center"/>
            <w:hideMark/>
          </w:tcPr>
          <w:p w:rsidR="004828F3" w:rsidRPr="003B1FCE" w:rsidRDefault="004828F3" w:rsidP="001F7251">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3a Evaluación Vinculante, respecto de la 1a Evaluación Vinculante</w:t>
            </w:r>
          </w:p>
        </w:tc>
        <w:tc>
          <w:tcPr>
            <w:tcW w:w="849" w:type="dxa"/>
            <w:tcBorders>
              <w:top w:val="nil"/>
              <w:left w:val="nil"/>
              <w:bottom w:val="single" w:sz="4" w:space="0" w:color="auto"/>
              <w:right w:val="single" w:sz="4" w:space="0" w:color="auto"/>
            </w:tcBorders>
            <w:shd w:val="clear" w:color="auto" w:fill="ED7D31" w:themeFill="accent2"/>
            <w:vAlign w:val="center"/>
            <w:hideMark/>
          </w:tcPr>
          <w:p w:rsidR="004828F3" w:rsidRPr="003B1FCE" w:rsidRDefault="004828F3" w:rsidP="001F7251">
            <w:pPr>
              <w:jc w:val="center"/>
              <w:rPr>
                <w:rFonts w:ascii="Arial" w:hAnsi="Arial" w:cs="Arial"/>
                <w:b/>
                <w:bCs/>
                <w:color w:val="000000" w:themeColor="text1"/>
                <w:sz w:val="20"/>
                <w:szCs w:val="20"/>
              </w:rPr>
            </w:pPr>
            <w:r w:rsidRPr="003B1FCE">
              <w:rPr>
                <w:rFonts w:ascii="Arial" w:hAnsi="Arial" w:cs="Arial"/>
                <w:b/>
                <w:bCs/>
                <w:color w:val="000000" w:themeColor="text1"/>
                <w:sz w:val="20"/>
                <w:szCs w:val="20"/>
              </w:rPr>
              <w:t>Mejoría</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w:t>
            </w:r>
          </w:p>
        </w:tc>
        <w:tc>
          <w:tcPr>
            <w:tcW w:w="435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Único de Trabajadores del Gobierno de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99.18</w:t>
            </w:r>
          </w:p>
        </w:tc>
        <w:tc>
          <w:tcPr>
            <w:tcW w:w="1703"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99.87</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0.68</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2</w:t>
            </w:r>
          </w:p>
        </w:tc>
        <w:tc>
          <w:tcPr>
            <w:tcW w:w="435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Independiente de Trabajadores del Instituto de Educación Media Superior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58.69</w:t>
            </w:r>
          </w:p>
        </w:tc>
        <w:tc>
          <w:tcPr>
            <w:tcW w:w="1703"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96.26</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37.56</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3</w:t>
            </w:r>
          </w:p>
        </w:tc>
        <w:tc>
          <w:tcPr>
            <w:tcW w:w="435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de Trabajadores del Poder Judicial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90.71</w:t>
            </w:r>
          </w:p>
        </w:tc>
        <w:tc>
          <w:tcPr>
            <w:tcW w:w="1703"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95.66</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4.96</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4</w:t>
            </w:r>
          </w:p>
        </w:tc>
        <w:tc>
          <w:tcPr>
            <w:tcW w:w="435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de Trabajadores del Tribunal de Justicia Administrativa de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29.46</w:t>
            </w:r>
          </w:p>
        </w:tc>
        <w:tc>
          <w:tcPr>
            <w:tcW w:w="1703"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87.51</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58.06</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5</w:t>
            </w:r>
          </w:p>
        </w:tc>
        <w:tc>
          <w:tcPr>
            <w:tcW w:w="435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Nacional de Trabajadores del Sistema de Transporte Colectivo</w:t>
            </w:r>
          </w:p>
        </w:tc>
        <w:tc>
          <w:tcPr>
            <w:tcW w:w="155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84.55</w:t>
            </w:r>
          </w:p>
        </w:tc>
        <w:tc>
          <w:tcPr>
            <w:tcW w:w="1703"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86.30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1.75</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6</w:t>
            </w:r>
          </w:p>
        </w:tc>
        <w:tc>
          <w:tcPr>
            <w:tcW w:w="435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Democrático Independiente de Trabajadores del Sistema de Transporte Colectivo</w:t>
            </w:r>
          </w:p>
        </w:tc>
        <w:tc>
          <w:tcPr>
            <w:tcW w:w="155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45.94</w:t>
            </w:r>
          </w:p>
        </w:tc>
        <w:tc>
          <w:tcPr>
            <w:tcW w:w="1703"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45.94</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w:t>
            </w:r>
          </w:p>
        </w:tc>
        <w:tc>
          <w:tcPr>
            <w:tcW w:w="435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de Trabajadores de Transporte de Pasajeros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1703"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37.38</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29.88</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8</w:t>
            </w:r>
          </w:p>
        </w:tc>
        <w:tc>
          <w:tcPr>
            <w:tcW w:w="435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Democrático de los Trabajadores de la Procuraduría Social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1703"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19.38</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11.88</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9</w:t>
            </w:r>
          </w:p>
        </w:tc>
        <w:tc>
          <w:tcPr>
            <w:tcW w:w="435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Alianza de Tranviarios de México</w:t>
            </w:r>
          </w:p>
        </w:tc>
        <w:tc>
          <w:tcPr>
            <w:tcW w:w="155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1703"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10</w:t>
            </w:r>
          </w:p>
        </w:tc>
        <w:tc>
          <w:tcPr>
            <w:tcW w:w="435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Asociación Sindical de Trabajadores del Instituto de Vivienda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1703"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11</w:t>
            </w:r>
          </w:p>
        </w:tc>
        <w:tc>
          <w:tcPr>
            <w:tcW w:w="435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Asociación Sindical de Trabajadores del Metro</w:t>
            </w:r>
          </w:p>
        </w:tc>
        <w:tc>
          <w:tcPr>
            <w:tcW w:w="155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1703"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lastRenderedPageBreak/>
              <w:t>12</w:t>
            </w:r>
          </w:p>
        </w:tc>
        <w:tc>
          <w:tcPr>
            <w:tcW w:w="435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Auténtico de Trabajadores de la Asamblea Legislativa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1703"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13</w:t>
            </w:r>
          </w:p>
        </w:tc>
        <w:tc>
          <w:tcPr>
            <w:tcW w:w="435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de Empleados del Servicio de Anales de Jurisprudencia</w:t>
            </w:r>
          </w:p>
        </w:tc>
        <w:tc>
          <w:tcPr>
            <w:tcW w:w="155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1703"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14</w:t>
            </w:r>
          </w:p>
        </w:tc>
        <w:tc>
          <w:tcPr>
            <w:tcW w:w="435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de la Unión de Trabajadores del Instituto de Educación Media Superior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1703"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15</w:t>
            </w:r>
          </w:p>
        </w:tc>
        <w:tc>
          <w:tcPr>
            <w:tcW w:w="435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de Trabajadores de la Asamblea Legislativa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1703"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16</w:t>
            </w:r>
          </w:p>
        </w:tc>
        <w:tc>
          <w:tcPr>
            <w:tcW w:w="435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de Trabajadores de la Auditoría Superior de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1703"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17</w:t>
            </w:r>
          </w:p>
        </w:tc>
        <w:tc>
          <w:tcPr>
            <w:tcW w:w="435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de Trabajadores del Tribunal Superior de Justicia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1703"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18</w:t>
            </w:r>
          </w:p>
        </w:tc>
        <w:tc>
          <w:tcPr>
            <w:tcW w:w="435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del Heroico Cuerpo de Bomberos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1703"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19</w:t>
            </w:r>
          </w:p>
        </w:tc>
        <w:tc>
          <w:tcPr>
            <w:tcW w:w="435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Independiente de Trabajadores Unidos de la Asamblea Legislativa del Distrito Federal</w:t>
            </w:r>
          </w:p>
        </w:tc>
        <w:tc>
          <w:tcPr>
            <w:tcW w:w="155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1703"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20</w:t>
            </w:r>
          </w:p>
        </w:tc>
        <w:tc>
          <w:tcPr>
            <w:tcW w:w="435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Único de Trabajadores de la Universidad Autónoma de la Ciudad de México</w:t>
            </w:r>
          </w:p>
        </w:tc>
        <w:tc>
          <w:tcPr>
            <w:tcW w:w="155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1703"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w:t>
            </w:r>
          </w:p>
        </w:tc>
      </w:tr>
      <w:tr w:rsidR="004828F3" w:rsidRPr="003B1FCE" w:rsidTr="001F7251">
        <w:trPr>
          <w:trHeight w:val="6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21</w:t>
            </w:r>
          </w:p>
        </w:tc>
        <w:tc>
          <w:tcPr>
            <w:tcW w:w="4352"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rPr>
                <w:rFonts w:ascii="Arial" w:hAnsi="Arial" w:cs="Arial"/>
                <w:color w:val="000000"/>
                <w:sz w:val="20"/>
                <w:szCs w:val="20"/>
              </w:rPr>
            </w:pPr>
            <w:r w:rsidRPr="003B1FCE">
              <w:rPr>
                <w:rFonts w:ascii="Arial" w:hAnsi="Arial" w:cs="Arial"/>
                <w:color w:val="000000"/>
                <w:sz w:val="20"/>
                <w:szCs w:val="20"/>
              </w:rPr>
              <w:t>Sindicato Único de Trabajadores Democráticos del Sistema de Transporte Colectivo</w:t>
            </w:r>
          </w:p>
        </w:tc>
        <w:tc>
          <w:tcPr>
            <w:tcW w:w="155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1703"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7.50</w:t>
            </w:r>
          </w:p>
        </w:tc>
        <w:tc>
          <w:tcPr>
            <w:tcW w:w="849" w:type="dxa"/>
            <w:tcBorders>
              <w:top w:val="nil"/>
              <w:left w:val="nil"/>
              <w:bottom w:val="single" w:sz="4" w:space="0" w:color="auto"/>
              <w:right w:val="single" w:sz="4" w:space="0" w:color="auto"/>
            </w:tcBorders>
            <w:shd w:val="clear" w:color="auto" w:fill="auto"/>
            <w:vAlign w:val="center"/>
            <w:hideMark/>
          </w:tcPr>
          <w:p w:rsidR="004828F3" w:rsidRPr="003B1FCE" w:rsidRDefault="004828F3" w:rsidP="001F7251">
            <w:pPr>
              <w:jc w:val="center"/>
              <w:rPr>
                <w:rFonts w:ascii="Arial" w:hAnsi="Arial" w:cs="Arial"/>
                <w:color w:val="000000"/>
                <w:sz w:val="20"/>
                <w:szCs w:val="20"/>
              </w:rPr>
            </w:pPr>
            <w:r w:rsidRPr="003B1FCE">
              <w:rPr>
                <w:rFonts w:ascii="Arial" w:hAnsi="Arial" w:cs="Arial"/>
                <w:color w:val="000000"/>
                <w:sz w:val="20"/>
                <w:szCs w:val="20"/>
              </w:rPr>
              <w:t>-</w:t>
            </w:r>
          </w:p>
        </w:tc>
      </w:tr>
    </w:tbl>
    <w:p w:rsidR="004828F3" w:rsidRPr="003B1FCE" w:rsidRDefault="004828F3" w:rsidP="004828F3">
      <w:pPr>
        <w:spacing w:before="100" w:beforeAutospacing="1" w:after="100" w:afterAutospacing="1" w:line="360" w:lineRule="auto"/>
        <w:contextualSpacing/>
        <w:jc w:val="both"/>
        <w:rPr>
          <w:rFonts w:ascii="Arial" w:hAnsi="Arial" w:cs="Arial"/>
        </w:rPr>
      </w:pPr>
    </w:p>
    <w:p w:rsidR="004828F3" w:rsidRPr="003B1FCE" w:rsidRDefault="004828F3" w:rsidP="004828F3">
      <w:pPr>
        <w:spacing w:before="100" w:beforeAutospacing="1" w:after="100" w:afterAutospacing="1" w:line="360" w:lineRule="auto"/>
        <w:jc w:val="both"/>
        <w:rPr>
          <w:rFonts w:ascii="Arial" w:hAnsi="Arial" w:cs="Arial"/>
        </w:rPr>
      </w:pPr>
      <w:r w:rsidRPr="003B1FCE">
        <w:rPr>
          <w:rFonts w:ascii="Arial" w:hAnsi="Arial" w:cs="Arial"/>
        </w:rPr>
        <w:t xml:space="preserve">Ningún sindicato alcanzó un cumplimiento total, respecto del piso mínimo de las obligaciones de transparencia, comprendidas en la Ley de Transparencia local. Sin embargo, ocho sindicatos atendieron las recomendaciones y observaciones emitidas en la Primera Evaluación Vinculante 2019 a sus respectivos entes; no obstante, estos mismos aún presentan áreas de oportunidad. </w:t>
      </w:r>
    </w:p>
    <w:p w:rsidR="004828F3" w:rsidRPr="003B1FCE" w:rsidRDefault="004828F3" w:rsidP="004828F3">
      <w:pPr>
        <w:spacing w:before="100" w:beforeAutospacing="1" w:after="100" w:afterAutospacing="1" w:line="360" w:lineRule="auto"/>
        <w:jc w:val="both"/>
        <w:rPr>
          <w:rFonts w:ascii="Arial" w:hAnsi="Arial" w:cs="Arial"/>
        </w:rPr>
      </w:pPr>
      <w:r w:rsidRPr="003B1FCE">
        <w:rPr>
          <w:rFonts w:ascii="Arial" w:hAnsi="Arial" w:cs="Arial"/>
        </w:rPr>
        <w:lastRenderedPageBreak/>
        <w:t>Cinco se encuentran situados en un cumplimiento parcial y dos en un incumplimiento parcial. Por último, 14 sindicatos mantuvieron el mismo índice de cumplimiento puesto que no atendieron las recomendaciones y observaciones emitidas.</w:t>
      </w:r>
    </w:p>
    <w:p w:rsidR="001F7251" w:rsidRPr="003B1FCE" w:rsidRDefault="004828F3" w:rsidP="0075244E">
      <w:pPr>
        <w:spacing w:before="100" w:beforeAutospacing="1" w:after="100" w:afterAutospacing="1" w:line="360" w:lineRule="auto"/>
        <w:jc w:val="both"/>
        <w:rPr>
          <w:rFonts w:ascii="Arial" w:hAnsi="Arial" w:cs="Arial"/>
        </w:rPr>
      </w:pPr>
      <w:r w:rsidRPr="003B1FCE">
        <w:rPr>
          <w:rFonts w:ascii="Arial" w:hAnsi="Arial" w:cs="Arial"/>
        </w:rPr>
        <w:t xml:space="preserve">Con relación a los cinco sindicatos que atendieron las recomendaciones y observaciones, tres se encontraban en cumplimiento parcial y dos en incumplimiento parcial; esto dos últimos, después de atender sus recomendaciones lograron alcanzar un cumplimiento parcial. </w:t>
      </w:r>
    </w:p>
    <w:p w:rsidR="003D3FB7" w:rsidRDefault="003D3FB7">
      <w:pPr>
        <w:rPr>
          <w:rFonts w:ascii="Arial" w:eastAsiaTheme="majorEastAsia" w:hAnsi="Arial" w:cs="Arial"/>
          <w:b/>
          <w:bCs/>
          <w:color w:val="000000" w:themeColor="text1"/>
          <w:lang w:eastAsia="en-US"/>
        </w:rPr>
      </w:pPr>
      <w:bookmarkStart w:id="31" w:name="_Toc23253014"/>
      <w:bookmarkStart w:id="32" w:name="_Toc26913268"/>
      <w:r>
        <w:rPr>
          <w:rFonts w:ascii="Arial" w:hAnsi="Arial" w:cs="Arial"/>
          <w:b/>
          <w:bCs/>
          <w:color w:val="000000" w:themeColor="text1"/>
        </w:rPr>
        <w:br w:type="page"/>
      </w:r>
    </w:p>
    <w:p w:rsidR="0075244E" w:rsidRPr="003B1FCE" w:rsidRDefault="0075244E" w:rsidP="0075244E">
      <w:pPr>
        <w:pStyle w:val="Ttulo1"/>
        <w:rPr>
          <w:rFonts w:ascii="Arial" w:hAnsi="Arial" w:cs="Arial"/>
          <w:b/>
          <w:bCs/>
          <w:color w:val="000000" w:themeColor="text1"/>
          <w:sz w:val="24"/>
          <w:szCs w:val="24"/>
        </w:rPr>
      </w:pPr>
      <w:r w:rsidRPr="003B1FCE">
        <w:rPr>
          <w:rFonts w:ascii="Arial" w:hAnsi="Arial" w:cs="Arial"/>
          <w:b/>
          <w:bCs/>
          <w:color w:val="000000" w:themeColor="text1"/>
          <w:sz w:val="24"/>
          <w:szCs w:val="24"/>
        </w:rPr>
        <w:lastRenderedPageBreak/>
        <w:t>CONCLUSIONES</w:t>
      </w:r>
      <w:bookmarkEnd w:id="31"/>
      <w:bookmarkEnd w:id="32"/>
      <w:r w:rsidRPr="003B1FCE">
        <w:rPr>
          <w:rFonts w:ascii="Arial" w:hAnsi="Arial" w:cs="Arial"/>
          <w:b/>
          <w:bCs/>
          <w:color w:val="000000" w:themeColor="text1"/>
          <w:sz w:val="24"/>
          <w:szCs w:val="24"/>
        </w:rPr>
        <w:t xml:space="preserve"> </w:t>
      </w:r>
    </w:p>
    <w:p w:rsidR="0075244E" w:rsidRPr="003B1FCE" w:rsidRDefault="0075244E" w:rsidP="0075244E">
      <w:pPr>
        <w:rPr>
          <w:rFonts w:ascii="Arial" w:hAnsi="Arial" w:cs="Arial"/>
        </w:rPr>
      </w:pPr>
    </w:p>
    <w:p w:rsidR="0075244E" w:rsidRPr="003B1FCE" w:rsidRDefault="00B31420" w:rsidP="0075244E">
      <w:pPr>
        <w:pStyle w:val="Prrafodelista"/>
        <w:numPr>
          <w:ilvl w:val="0"/>
          <w:numId w:val="10"/>
        </w:numPr>
        <w:spacing w:line="360" w:lineRule="auto"/>
        <w:jc w:val="both"/>
        <w:rPr>
          <w:rFonts w:ascii="Arial" w:hAnsi="Arial" w:cs="Arial"/>
          <w:sz w:val="24"/>
          <w:szCs w:val="24"/>
        </w:rPr>
      </w:pPr>
      <w:r w:rsidRPr="003B1FCE">
        <w:rPr>
          <w:rFonts w:ascii="Arial" w:hAnsi="Arial" w:cs="Arial"/>
          <w:sz w:val="24"/>
          <w:szCs w:val="24"/>
        </w:rPr>
        <w:t xml:space="preserve">De los 139 sujetos obligado, </w:t>
      </w:r>
      <w:r w:rsidRPr="003D3FB7">
        <w:rPr>
          <w:rFonts w:ascii="Arial" w:hAnsi="Arial" w:cs="Arial"/>
          <w:sz w:val="24"/>
          <w:szCs w:val="24"/>
          <w:highlight w:val="yellow"/>
        </w:rPr>
        <w:t>2</w:t>
      </w:r>
      <w:r w:rsidR="003D3FB7" w:rsidRPr="003D3FB7">
        <w:rPr>
          <w:rFonts w:ascii="Arial" w:hAnsi="Arial" w:cs="Arial"/>
          <w:sz w:val="24"/>
          <w:szCs w:val="24"/>
          <w:highlight w:val="yellow"/>
        </w:rPr>
        <w:t>5</w:t>
      </w:r>
      <w:r w:rsidRPr="003D3FB7">
        <w:rPr>
          <w:rFonts w:ascii="Arial" w:hAnsi="Arial" w:cs="Arial"/>
          <w:sz w:val="24"/>
          <w:szCs w:val="24"/>
          <w:highlight w:val="yellow"/>
        </w:rPr>
        <w:t xml:space="preserve"> (1</w:t>
      </w:r>
      <w:r w:rsidR="003D3FB7" w:rsidRPr="003D3FB7">
        <w:rPr>
          <w:rFonts w:ascii="Arial" w:hAnsi="Arial" w:cs="Arial"/>
          <w:sz w:val="24"/>
          <w:szCs w:val="24"/>
          <w:highlight w:val="yellow"/>
        </w:rPr>
        <w:t>7.98</w:t>
      </w:r>
      <w:r w:rsidRPr="003D3FB7">
        <w:rPr>
          <w:rFonts w:ascii="Arial" w:hAnsi="Arial" w:cs="Arial"/>
          <w:sz w:val="24"/>
          <w:szCs w:val="24"/>
          <w:highlight w:val="yellow"/>
        </w:rPr>
        <w:t xml:space="preserve">%) </w:t>
      </w:r>
      <w:r w:rsidR="0075244E" w:rsidRPr="003B1FCE">
        <w:rPr>
          <w:rFonts w:ascii="Arial" w:hAnsi="Arial" w:cs="Arial"/>
          <w:sz w:val="24"/>
          <w:szCs w:val="24"/>
        </w:rPr>
        <w:t xml:space="preserve">sujetos no atendieron ninguna de las recomendaciones y observaciones emitidas en la Primera Evaluación Vinculante 2019, respecto del ejercicio 2018. De éstos, </w:t>
      </w:r>
      <w:r w:rsidR="0075244E" w:rsidRPr="003D3FB7">
        <w:rPr>
          <w:rFonts w:ascii="Arial" w:hAnsi="Arial" w:cs="Arial"/>
          <w:sz w:val="24"/>
          <w:szCs w:val="24"/>
          <w:highlight w:val="yellow"/>
        </w:rPr>
        <w:t>2</w:t>
      </w:r>
      <w:r w:rsidR="003D3FB7" w:rsidRPr="003D3FB7">
        <w:rPr>
          <w:rFonts w:ascii="Arial" w:hAnsi="Arial" w:cs="Arial"/>
          <w:sz w:val="24"/>
          <w:szCs w:val="24"/>
          <w:highlight w:val="yellow"/>
        </w:rPr>
        <w:t>1</w:t>
      </w:r>
      <w:r w:rsidR="0075244E" w:rsidRPr="003B1FCE">
        <w:rPr>
          <w:rFonts w:ascii="Arial" w:hAnsi="Arial" w:cs="Arial"/>
          <w:sz w:val="24"/>
          <w:szCs w:val="24"/>
        </w:rPr>
        <w:t xml:space="preserve"> conservaron el mismo Índice y </w:t>
      </w:r>
      <w:r w:rsidR="003D3FB7" w:rsidRPr="003D3FB7">
        <w:rPr>
          <w:rFonts w:ascii="Arial" w:hAnsi="Arial" w:cs="Arial"/>
          <w:sz w:val="24"/>
          <w:szCs w:val="24"/>
          <w:highlight w:val="yellow"/>
        </w:rPr>
        <w:t>cuatro</w:t>
      </w:r>
      <w:r w:rsidR="0075244E" w:rsidRPr="003D3FB7">
        <w:rPr>
          <w:rFonts w:ascii="Arial" w:hAnsi="Arial" w:cs="Arial"/>
          <w:sz w:val="24"/>
          <w:szCs w:val="24"/>
          <w:highlight w:val="yellow"/>
        </w:rPr>
        <w:t xml:space="preserve"> </w:t>
      </w:r>
      <w:r w:rsidR="0075244E" w:rsidRPr="003B1FCE">
        <w:rPr>
          <w:rFonts w:ascii="Arial" w:hAnsi="Arial" w:cs="Arial"/>
          <w:sz w:val="24"/>
          <w:szCs w:val="24"/>
        </w:rPr>
        <w:t xml:space="preserve">tuvieron un decremento en su índice, con respecto al que obtuvieron en la Primera Evaluación.  </w:t>
      </w:r>
    </w:p>
    <w:p w:rsidR="0075244E" w:rsidRPr="003B1FCE" w:rsidRDefault="00521DAB" w:rsidP="0075244E">
      <w:pPr>
        <w:pStyle w:val="Prrafodelista"/>
        <w:numPr>
          <w:ilvl w:val="0"/>
          <w:numId w:val="10"/>
        </w:numPr>
        <w:spacing w:line="360" w:lineRule="auto"/>
        <w:jc w:val="both"/>
        <w:rPr>
          <w:rFonts w:ascii="Arial" w:hAnsi="Arial" w:cs="Arial"/>
          <w:sz w:val="24"/>
          <w:szCs w:val="24"/>
        </w:rPr>
      </w:pPr>
      <w:r w:rsidRPr="003B1FCE">
        <w:rPr>
          <w:rFonts w:ascii="Arial" w:hAnsi="Arial" w:cs="Arial"/>
          <w:sz w:val="24"/>
          <w:szCs w:val="24"/>
        </w:rPr>
        <w:t xml:space="preserve">Los </w:t>
      </w:r>
      <w:r w:rsidR="00B31420" w:rsidRPr="003B1FCE">
        <w:rPr>
          <w:rFonts w:ascii="Arial" w:hAnsi="Arial" w:cs="Arial"/>
          <w:sz w:val="24"/>
          <w:szCs w:val="24"/>
        </w:rPr>
        <w:t>sujetos obligados</w:t>
      </w:r>
      <w:r w:rsidR="0075244E" w:rsidRPr="003B1FCE">
        <w:rPr>
          <w:rFonts w:ascii="Arial" w:hAnsi="Arial" w:cs="Arial"/>
          <w:sz w:val="24"/>
          <w:szCs w:val="24"/>
        </w:rPr>
        <w:t xml:space="preserve"> </w:t>
      </w:r>
      <w:r w:rsidRPr="003B1FCE">
        <w:rPr>
          <w:rFonts w:ascii="Arial" w:hAnsi="Arial" w:cs="Arial"/>
          <w:sz w:val="24"/>
          <w:szCs w:val="24"/>
        </w:rPr>
        <w:t xml:space="preserve">que </w:t>
      </w:r>
      <w:r w:rsidR="0075244E" w:rsidRPr="003B1FCE">
        <w:rPr>
          <w:rFonts w:ascii="Arial" w:hAnsi="Arial" w:cs="Arial"/>
          <w:sz w:val="24"/>
          <w:szCs w:val="24"/>
        </w:rPr>
        <w:t xml:space="preserve">atendieron parcialmente </w:t>
      </w:r>
      <w:r w:rsidR="00B31420" w:rsidRPr="003B1FCE">
        <w:rPr>
          <w:rFonts w:ascii="Arial" w:hAnsi="Arial" w:cs="Arial"/>
          <w:sz w:val="24"/>
          <w:szCs w:val="24"/>
        </w:rPr>
        <w:t>las recomendaciones</w:t>
      </w:r>
      <w:r w:rsidR="0075244E" w:rsidRPr="003B1FCE">
        <w:rPr>
          <w:rFonts w:ascii="Arial" w:hAnsi="Arial" w:cs="Arial"/>
          <w:sz w:val="24"/>
          <w:szCs w:val="24"/>
        </w:rPr>
        <w:t xml:space="preserve"> y observaciones emitidas en la Primera Evaluación Vinculante 2019</w:t>
      </w:r>
      <w:r w:rsidRPr="003B1FCE">
        <w:rPr>
          <w:rFonts w:ascii="Arial" w:hAnsi="Arial" w:cs="Arial"/>
          <w:sz w:val="24"/>
          <w:szCs w:val="24"/>
        </w:rPr>
        <w:t xml:space="preserve"> respecto del ejercicio 2018, fueron </w:t>
      </w:r>
      <w:r w:rsidRPr="003D3FB7">
        <w:rPr>
          <w:rFonts w:ascii="Arial" w:hAnsi="Arial" w:cs="Arial"/>
          <w:sz w:val="24"/>
          <w:szCs w:val="24"/>
          <w:highlight w:val="yellow"/>
        </w:rPr>
        <w:t>8</w:t>
      </w:r>
      <w:r w:rsidR="003D3FB7" w:rsidRPr="003D3FB7">
        <w:rPr>
          <w:rFonts w:ascii="Arial" w:hAnsi="Arial" w:cs="Arial"/>
          <w:sz w:val="24"/>
          <w:szCs w:val="24"/>
          <w:highlight w:val="yellow"/>
        </w:rPr>
        <w:t>7</w:t>
      </w:r>
      <w:r w:rsidRPr="003D3FB7">
        <w:rPr>
          <w:rFonts w:ascii="Arial" w:hAnsi="Arial" w:cs="Arial"/>
          <w:sz w:val="24"/>
          <w:szCs w:val="24"/>
          <w:highlight w:val="yellow"/>
        </w:rPr>
        <w:t xml:space="preserve"> (6</w:t>
      </w:r>
      <w:r w:rsidR="003D3FB7" w:rsidRPr="003D3FB7">
        <w:rPr>
          <w:rFonts w:ascii="Arial" w:hAnsi="Arial" w:cs="Arial"/>
          <w:sz w:val="24"/>
          <w:szCs w:val="24"/>
          <w:highlight w:val="yellow"/>
        </w:rPr>
        <w:t>2.58</w:t>
      </w:r>
      <w:r w:rsidRPr="003D3FB7">
        <w:rPr>
          <w:rFonts w:ascii="Arial" w:hAnsi="Arial" w:cs="Arial"/>
          <w:sz w:val="24"/>
          <w:szCs w:val="24"/>
          <w:highlight w:val="yellow"/>
        </w:rPr>
        <w:t>%)</w:t>
      </w:r>
      <w:r w:rsidR="0075244E" w:rsidRPr="003D3FB7">
        <w:rPr>
          <w:rFonts w:ascii="Arial" w:hAnsi="Arial" w:cs="Arial"/>
          <w:sz w:val="24"/>
          <w:szCs w:val="24"/>
          <w:highlight w:val="yellow"/>
        </w:rPr>
        <w:t>.</w:t>
      </w:r>
    </w:p>
    <w:p w:rsidR="0075244E" w:rsidRPr="003B1FCE" w:rsidRDefault="00521DAB" w:rsidP="0075244E">
      <w:pPr>
        <w:pStyle w:val="Prrafodelista"/>
        <w:numPr>
          <w:ilvl w:val="0"/>
          <w:numId w:val="10"/>
        </w:numPr>
        <w:spacing w:line="360" w:lineRule="auto"/>
        <w:jc w:val="both"/>
        <w:rPr>
          <w:rFonts w:ascii="Arial" w:hAnsi="Arial" w:cs="Arial"/>
          <w:sz w:val="24"/>
          <w:szCs w:val="24"/>
        </w:rPr>
      </w:pPr>
      <w:r w:rsidRPr="003B1FCE">
        <w:rPr>
          <w:rFonts w:ascii="Arial" w:hAnsi="Arial" w:cs="Arial"/>
          <w:sz w:val="24"/>
          <w:szCs w:val="24"/>
        </w:rPr>
        <w:t xml:space="preserve">Los </w:t>
      </w:r>
      <w:r w:rsidR="0075244E" w:rsidRPr="003B1FCE">
        <w:rPr>
          <w:rFonts w:ascii="Arial" w:hAnsi="Arial" w:cs="Arial"/>
          <w:sz w:val="24"/>
          <w:szCs w:val="24"/>
        </w:rPr>
        <w:t>sujetos</w:t>
      </w:r>
      <w:r w:rsidR="00B31420" w:rsidRPr="003B1FCE">
        <w:rPr>
          <w:rFonts w:ascii="Arial" w:hAnsi="Arial" w:cs="Arial"/>
          <w:sz w:val="24"/>
          <w:szCs w:val="24"/>
        </w:rPr>
        <w:t xml:space="preserve"> obligados</w:t>
      </w:r>
      <w:r w:rsidR="0075244E" w:rsidRPr="003B1FCE">
        <w:rPr>
          <w:rFonts w:ascii="Arial" w:hAnsi="Arial" w:cs="Arial"/>
          <w:sz w:val="24"/>
          <w:szCs w:val="24"/>
        </w:rPr>
        <w:t xml:space="preserve"> </w:t>
      </w:r>
      <w:r w:rsidRPr="003B1FCE">
        <w:rPr>
          <w:rFonts w:ascii="Arial" w:hAnsi="Arial" w:cs="Arial"/>
          <w:sz w:val="24"/>
          <w:szCs w:val="24"/>
        </w:rPr>
        <w:t xml:space="preserve">que </w:t>
      </w:r>
      <w:r w:rsidR="0075244E" w:rsidRPr="003B1FCE">
        <w:rPr>
          <w:rFonts w:ascii="Arial" w:hAnsi="Arial" w:cs="Arial"/>
          <w:sz w:val="24"/>
          <w:szCs w:val="24"/>
        </w:rPr>
        <w:t>alcanzaron, una vez atendidas las recomendaciones, un IGOT de 100 puntos</w:t>
      </w:r>
      <w:r w:rsidRPr="003B1FCE">
        <w:rPr>
          <w:rFonts w:ascii="Arial" w:hAnsi="Arial" w:cs="Arial"/>
          <w:sz w:val="24"/>
          <w:szCs w:val="24"/>
        </w:rPr>
        <w:t xml:space="preserve"> fueron </w:t>
      </w:r>
      <w:r w:rsidRPr="003D3FB7">
        <w:rPr>
          <w:rFonts w:ascii="Arial" w:hAnsi="Arial" w:cs="Arial"/>
          <w:sz w:val="24"/>
          <w:szCs w:val="24"/>
          <w:highlight w:val="yellow"/>
        </w:rPr>
        <w:t>27 (19.4</w:t>
      </w:r>
      <w:r w:rsidR="003D3FB7" w:rsidRPr="003D3FB7">
        <w:rPr>
          <w:rFonts w:ascii="Arial" w:hAnsi="Arial" w:cs="Arial"/>
          <w:sz w:val="24"/>
          <w:szCs w:val="24"/>
          <w:highlight w:val="yellow"/>
        </w:rPr>
        <w:t>2</w:t>
      </w:r>
      <w:r w:rsidRPr="003D3FB7">
        <w:rPr>
          <w:rFonts w:ascii="Arial" w:hAnsi="Arial" w:cs="Arial"/>
          <w:sz w:val="24"/>
          <w:szCs w:val="24"/>
          <w:highlight w:val="yellow"/>
        </w:rPr>
        <w:t>%)</w:t>
      </w:r>
      <w:r w:rsidR="0075244E" w:rsidRPr="003D3FB7">
        <w:rPr>
          <w:rFonts w:ascii="Arial" w:hAnsi="Arial" w:cs="Arial"/>
          <w:sz w:val="24"/>
          <w:szCs w:val="24"/>
          <w:highlight w:val="yellow"/>
        </w:rPr>
        <w:t>.</w:t>
      </w:r>
    </w:p>
    <w:p w:rsidR="0075244E" w:rsidRPr="003B1FCE" w:rsidRDefault="0075244E" w:rsidP="0075244E">
      <w:pPr>
        <w:pStyle w:val="Prrafodelista"/>
        <w:numPr>
          <w:ilvl w:val="0"/>
          <w:numId w:val="10"/>
        </w:numPr>
        <w:spacing w:line="360" w:lineRule="auto"/>
        <w:jc w:val="both"/>
        <w:rPr>
          <w:rFonts w:ascii="Arial" w:hAnsi="Arial" w:cs="Arial"/>
          <w:sz w:val="24"/>
          <w:szCs w:val="24"/>
        </w:rPr>
      </w:pPr>
      <w:r w:rsidRPr="003B1FCE">
        <w:rPr>
          <w:rFonts w:ascii="Arial" w:hAnsi="Arial" w:cs="Arial"/>
          <w:sz w:val="24"/>
          <w:szCs w:val="24"/>
        </w:rPr>
        <w:t xml:space="preserve">En total, </w:t>
      </w:r>
      <w:r w:rsidRPr="003D3FB7">
        <w:rPr>
          <w:rFonts w:ascii="Arial" w:hAnsi="Arial" w:cs="Arial"/>
          <w:sz w:val="24"/>
          <w:szCs w:val="24"/>
          <w:highlight w:val="yellow"/>
        </w:rPr>
        <w:t>11</w:t>
      </w:r>
      <w:r w:rsidR="003D3FB7" w:rsidRPr="003D3FB7">
        <w:rPr>
          <w:rFonts w:ascii="Arial" w:hAnsi="Arial" w:cs="Arial"/>
          <w:sz w:val="24"/>
          <w:szCs w:val="24"/>
          <w:highlight w:val="yellow"/>
        </w:rPr>
        <w:t>4</w:t>
      </w:r>
      <w:r w:rsidRPr="003D3FB7">
        <w:rPr>
          <w:rFonts w:ascii="Arial" w:hAnsi="Arial" w:cs="Arial"/>
          <w:sz w:val="24"/>
          <w:szCs w:val="24"/>
          <w:highlight w:val="yellow"/>
        </w:rPr>
        <w:t xml:space="preserve"> </w:t>
      </w:r>
      <w:r w:rsidR="00B31420" w:rsidRPr="003D3FB7">
        <w:rPr>
          <w:rFonts w:ascii="Arial" w:hAnsi="Arial" w:cs="Arial"/>
          <w:sz w:val="24"/>
          <w:szCs w:val="24"/>
          <w:highlight w:val="yellow"/>
        </w:rPr>
        <w:t>(8</w:t>
      </w:r>
      <w:r w:rsidR="003D3FB7" w:rsidRPr="003D3FB7">
        <w:rPr>
          <w:rFonts w:ascii="Arial" w:hAnsi="Arial" w:cs="Arial"/>
          <w:sz w:val="24"/>
          <w:szCs w:val="24"/>
          <w:highlight w:val="yellow"/>
        </w:rPr>
        <w:t>2.01</w:t>
      </w:r>
      <w:r w:rsidR="00B31420" w:rsidRPr="003D3FB7">
        <w:rPr>
          <w:rFonts w:ascii="Arial" w:hAnsi="Arial" w:cs="Arial"/>
          <w:sz w:val="24"/>
          <w:szCs w:val="24"/>
          <w:highlight w:val="yellow"/>
        </w:rPr>
        <w:t xml:space="preserve">%) </w:t>
      </w:r>
      <w:r w:rsidRPr="003B1FCE">
        <w:rPr>
          <w:rFonts w:ascii="Arial" w:hAnsi="Arial" w:cs="Arial"/>
          <w:sz w:val="24"/>
          <w:szCs w:val="24"/>
        </w:rPr>
        <w:t xml:space="preserve">sujetos obligados atendieron las recomendaciones de este Instituto, éstos incluyen los que alcanzaron el cumplimiento total con un IGOT de 100%. </w:t>
      </w:r>
    </w:p>
    <w:p w:rsidR="0075244E" w:rsidRPr="003B1FCE" w:rsidRDefault="0075244E" w:rsidP="0075244E">
      <w:pPr>
        <w:pStyle w:val="Prrafodelista"/>
        <w:numPr>
          <w:ilvl w:val="0"/>
          <w:numId w:val="10"/>
        </w:numPr>
        <w:spacing w:line="360" w:lineRule="auto"/>
        <w:jc w:val="both"/>
        <w:rPr>
          <w:rFonts w:ascii="Arial" w:hAnsi="Arial" w:cs="Arial"/>
          <w:sz w:val="24"/>
          <w:szCs w:val="24"/>
        </w:rPr>
      </w:pPr>
      <w:r w:rsidRPr="003B1FCE">
        <w:rPr>
          <w:rFonts w:ascii="Arial" w:hAnsi="Arial" w:cs="Arial"/>
          <w:sz w:val="24"/>
          <w:szCs w:val="24"/>
        </w:rPr>
        <w:t xml:space="preserve">La información provista en algunos portales de transparencia no cuenta con los criterios mínimos dispuestos en lo que se refiere a formatos accesibles y datos abiertos, tales como que sean integrales, legibles, no discriminatorios, oportunos, permanentes y primarios. </w:t>
      </w:r>
    </w:p>
    <w:p w:rsidR="0075244E" w:rsidRPr="003B1FCE" w:rsidRDefault="0075244E" w:rsidP="0075244E">
      <w:pPr>
        <w:pStyle w:val="Prrafodelista"/>
        <w:numPr>
          <w:ilvl w:val="0"/>
          <w:numId w:val="10"/>
        </w:numPr>
        <w:spacing w:line="360" w:lineRule="auto"/>
        <w:jc w:val="both"/>
        <w:rPr>
          <w:rFonts w:ascii="Arial" w:hAnsi="Arial" w:cs="Arial"/>
          <w:sz w:val="24"/>
          <w:szCs w:val="24"/>
        </w:rPr>
      </w:pPr>
      <w:r w:rsidRPr="003B1FCE">
        <w:rPr>
          <w:rFonts w:ascii="Arial" w:hAnsi="Arial" w:cs="Arial"/>
          <w:sz w:val="24"/>
          <w:szCs w:val="24"/>
        </w:rPr>
        <w:t>Los sujetos obligados deben publicar la información en un lenguaje sencillo y con perspectiva de género, haciendo uso de formatos accesibles y abiertos.</w:t>
      </w:r>
    </w:p>
    <w:p w:rsidR="0075244E" w:rsidRPr="003B1FCE" w:rsidRDefault="0075244E" w:rsidP="0075244E">
      <w:pPr>
        <w:pStyle w:val="Prrafodelista"/>
        <w:numPr>
          <w:ilvl w:val="0"/>
          <w:numId w:val="10"/>
        </w:numPr>
        <w:spacing w:line="360" w:lineRule="auto"/>
        <w:jc w:val="both"/>
        <w:rPr>
          <w:rFonts w:ascii="Arial" w:hAnsi="Arial" w:cs="Arial"/>
          <w:sz w:val="24"/>
          <w:szCs w:val="24"/>
        </w:rPr>
      </w:pPr>
      <w:r w:rsidRPr="003B1FCE">
        <w:rPr>
          <w:rFonts w:ascii="Arial" w:hAnsi="Arial" w:cs="Arial"/>
          <w:sz w:val="24"/>
          <w:szCs w:val="24"/>
        </w:rPr>
        <w:t xml:space="preserve">Las ligas electrónicas no siempre otorgan acceso específico a la información mencionada o simplemente no están en funcionamiento. </w:t>
      </w:r>
    </w:p>
    <w:p w:rsidR="0075244E" w:rsidRPr="003B1FCE" w:rsidRDefault="0075244E" w:rsidP="0075244E">
      <w:pPr>
        <w:pStyle w:val="Ttulo1"/>
        <w:rPr>
          <w:rFonts w:ascii="Arial" w:hAnsi="Arial" w:cs="Arial"/>
          <w:b/>
          <w:bCs/>
          <w:color w:val="000000" w:themeColor="text1"/>
          <w:sz w:val="24"/>
          <w:szCs w:val="24"/>
        </w:rPr>
      </w:pPr>
      <w:bookmarkStart w:id="33" w:name="_Toc26913269"/>
      <w:r w:rsidRPr="003B1FCE">
        <w:rPr>
          <w:rFonts w:ascii="Arial" w:hAnsi="Arial" w:cs="Arial"/>
          <w:b/>
          <w:bCs/>
          <w:color w:val="000000" w:themeColor="text1"/>
          <w:sz w:val="24"/>
          <w:szCs w:val="24"/>
        </w:rPr>
        <w:t>LÍNEAS DE ACCIÓN</w:t>
      </w:r>
      <w:bookmarkEnd w:id="33"/>
    </w:p>
    <w:p w:rsidR="00FF7BD9" w:rsidRPr="003B1FCE" w:rsidRDefault="00FF7BD9" w:rsidP="00FF7BD9">
      <w:pPr>
        <w:rPr>
          <w:lang w:eastAsia="en-US"/>
        </w:rPr>
      </w:pPr>
    </w:p>
    <w:p w:rsidR="0075244E" w:rsidRPr="003B1FCE" w:rsidRDefault="0075244E" w:rsidP="0075244E">
      <w:pPr>
        <w:pStyle w:val="Prrafodelista"/>
        <w:numPr>
          <w:ilvl w:val="0"/>
          <w:numId w:val="11"/>
        </w:numPr>
        <w:spacing w:line="360" w:lineRule="auto"/>
        <w:jc w:val="both"/>
        <w:rPr>
          <w:rFonts w:ascii="Arial" w:hAnsi="Arial" w:cs="Arial"/>
          <w:sz w:val="24"/>
          <w:szCs w:val="24"/>
        </w:rPr>
      </w:pPr>
      <w:r w:rsidRPr="003B1FCE">
        <w:rPr>
          <w:rFonts w:ascii="Arial" w:hAnsi="Arial" w:cs="Arial"/>
          <w:sz w:val="24"/>
          <w:szCs w:val="24"/>
        </w:rPr>
        <w:t>Se continuará brindando a los sujetos obligados Asesorías Técnicas Especializadas respecto de la publicación y actualización de las obligaciones de transparencia. En específico se realizarán asesoría y acompañamiento con los sujetos obligados respecto de las recomendaciones y observaciones emitidas en la Primera y Tercera Evaluación Vinculante 2019.</w:t>
      </w:r>
    </w:p>
    <w:p w:rsidR="0075244E" w:rsidRPr="003B1FCE" w:rsidRDefault="0075244E" w:rsidP="0075244E">
      <w:pPr>
        <w:pStyle w:val="Prrafodelista"/>
        <w:numPr>
          <w:ilvl w:val="0"/>
          <w:numId w:val="11"/>
        </w:numPr>
        <w:spacing w:line="360" w:lineRule="auto"/>
        <w:jc w:val="both"/>
        <w:rPr>
          <w:rFonts w:ascii="Arial" w:hAnsi="Arial" w:cs="Arial"/>
          <w:sz w:val="24"/>
          <w:szCs w:val="24"/>
        </w:rPr>
      </w:pPr>
      <w:r w:rsidRPr="003B1FCE">
        <w:rPr>
          <w:rFonts w:ascii="Arial" w:hAnsi="Arial" w:cs="Arial"/>
          <w:sz w:val="24"/>
          <w:szCs w:val="24"/>
        </w:rPr>
        <w:lastRenderedPageBreak/>
        <w:t>Se buscará aprovechar las lecciones de esta evaluación para subsanar, en el corto plazo, las omisiones detectadas, consistentes en:</w:t>
      </w:r>
    </w:p>
    <w:p w:rsidR="0075244E" w:rsidRPr="003B1FCE" w:rsidRDefault="0075244E" w:rsidP="0075244E">
      <w:pPr>
        <w:pStyle w:val="Prrafodelista"/>
        <w:rPr>
          <w:rFonts w:ascii="Arial" w:hAnsi="Arial" w:cs="Arial"/>
          <w:sz w:val="24"/>
          <w:szCs w:val="24"/>
        </w:rPr>
      </w:pPr>
    </w:p>
    <w:p w:rsidR="0075244E" w:rsidRPr="003B1FCE" w:rsidRDefault="0075244E" w:rsidP="0075244E">
      <w:pPr>
        <w:pStyle w:val="Prrafodelista"/>
        <w:numPr>
          <w:ilvl w:val="1"/>
          <w:numId w:val="11"/>
        </w:numPr>
        <w:spacing w:line="360" w:lineRule="auto"/>
        <w:jc w:val="both"/>
        <w:rPr>
          <w:rFonts w:ascii="Arial" w:hAnsi="Arial" w:cs="Arial"/>
          <w:sz w:val="24"/>
          <w:szCs w:val="24"/>
        </w:rPr>
      </w:pPr>
      <w:r w:rsidRPr="003B1FCE">
        <w:rPr>
          <w:rFonts w:ascii="Arial" w:hAnsi="Arial" w:cs="Arial"/>
          <w:sz w:val="24"/>
          <w:szCs w:val="24"/>
        </w:rPr>
        <w:t>La importancia de que los sujetos obligados participen en las asesorías técnicas especializadas, con el objetivo de que éstos puedan subsanar sus dudas respecto de la publicación y actualización de la información.</w:t>
      </w:r>
    </w:p>
    <w:p w:rsidR="0075244E" w:rsidRPr="003B1FCE" w:rsidRDefault="0075244E" w:rsidP="0075244E">
      <w:pPr>
        <w:pStyle w:val="Prrafodelista"/>
        <w:numPr>
          <w:ilvl w:val="1"/>
          <w:numId w:val="11"/>
        </w:numPr>
        <w:spacing w:line="360" w:lineRule="auto"/>
        <w:jc w:val="both"/>
        <w:rPr>
          <w:rFonts w:ascii="Arial" w:hAnsi="Arial" w:cs="Arial"/>
          <w:sz w:val="24"/>
          <w:szCs w:val="24"/>
        </w:rPr>
      </w:pPr>
      <w:r w:rsidRPr="003B1FCE">
        <w:rPr>
          <w:rFonts w:ascii="Arial" w:hAnsi="Arial" w:cs="Arial"/>
          <w:sz w:val="24"/>
          <w:szCs w:val="24"/>
        </w:rPr>
        <w:t>Concientizar a los sujetos obligados respecto de la importancia de utilizar un lenguaje sencillo, con perspectiva de género y plasmar la información en formatos accesibles y abiertos.</w:t>
      </w:r>
    </w:p>
    <w:p w:rsidR="0075244E" w:rsidRPr="003B1FCE" w:rsidRDefault="0075244E" w:rsidP="0075244E">
      <w:pPr>
        <w:pStyle w:val="Prrafodelista"/>
        <w:numPr>
          <w:ilvl w:val="1"/>
          <w:numId w:val="11"/>
        </w:numPr>
        <w:spacing w:line="360" w:lineRule="auto"/>
        <w:jc w:val="both"/>
        <w:rPr>
          <w:rFonts w:ascii="Arial" w:hAnsi="Arial" w:cs="Arial"/>
          <w:sz w:val="24"/>
          <w:szCs w:val="24"/>
        </w:rPr>
      </w:pPr>
      <w:r w:rsidRPr="003B1FCE">
        <w:rPr>
          <w:rFonts w:ascii="Arial" w:hAnsi="Arial" w:cs="Arial"/>
          <w:sz w:val="24"/>
          <w:szCs w:val="24"/>
        </w:rPr>
        <w:t xml:space="preserve">Crear portales web fáciles de usar y accesibles para los grupos que se encuentren en situación de vulnerabilidad, implementar lectores de página, contrastes de color, temporizador dentro de las ventanas emergentes, entre otras herramientas. </w:t>
      </w:r>
    </w:p>
    <w:p w:rsidR="0075244E" w:rsidRPr="003B1FCE" w:rsidRDefault="0075244E" w:rsidP="00521DAB">
      <w:pPr>
        <w:spacing w:line="360" w:lineRule="auto"/>
        <w:jc w:val="both"/>
        <w:rPr>
          <w:rFonts w:ascii="Arial" w:hAnsi="Arial" w:cs="Arial"/>
        </w:rPr>
      </w:pPr>
      <w:r w:rsidRPr="003B1FCE">
        <w:rPr>
          <w:rFonts w:ascii="Arial" w:hAnsi="Arial" w:cs="Arial"/>
        </w:rPr>
        <w:t>Lo anterior, con el objetivo de asegurar el cumplimiento total de las obligaciones de los sujetos obligados y asegurar que las personas puedan aprovechar la información correspondiente.</w:t>
      </w:r>
    </w:p>
    <w:p w:rsidR="00521DAB" w:rsidRPr="003B1FCE" w:rsidRDefault="00521DAB" w:rsidP="00521DAB">
      <w:pPr>
        <w:spacing w:line="360" w:lineRule="auto"/>
        <w:jc w:val="both"/>
        <w:rPr>
          <w:rFonts w:ascii="Arial" w:hAnsi="Arial" w:cs="Arial"/>
        </w:rPr>
      </w:pPr>
    </w:p>
    <w:p w:rsidR="0075244E" w:rsidRPr="003B1FCE" w:rsidRDefault="0075244E" w:rsidP="0075244E">
      <w:pPr>
        <w:pStyle w:val="Prrafodelista"/>
        <w:numPr>
          <w:ilvl w:val="0"/>
          <w:numId w:val="11"/>
        </w:numPr>
        <w:spacing w:line="360" w:lineRule="auto"/>
        <w:jc w:val="both"/>
        <w:rPr>
          <w:rFonts w:ascii="Arial" w:hAnsi="Arial" w:cs="Arial"/>
          <w:sz w:val="24"/>
          <w:szCs w:val="24"/>
        </w:rPr>
      </w:pPr>
      <w:r w:rsidRPr="003B1FCE">
        <w:rPr>
          <w:rFonts w:ascii="Arial" w:hAnsi="Arial" w:cs="Arial"/>
          <w:sz w:val="24"/>
          <w:szCs w:val="24"/>
        </w:rPr>
        <w:t xml:space="preserve">Como órgano garante, el Instituto, con base a las evaluaciones realizadas a lo largo del presenta año, identificará las buenas prácticas que existen en su trabajo, </w:t>
      </w:r>
      <w:r w:rsidR="00D71D7B">
        <w:rPr>
          <w:rFonts w:ascii="Arial" w:hAnsi="Arial" w:cs="Arial"/>
          <w:sz w:val="24"/>
          <w:szCs w:val="24"/>
        </w:rPr>
        <w:t xml:space="preserve">y </w:t>
      </w:r>
      <w:r w:rsidRPr="003B1FCE">
        <w:rPr>
          <w:rFonts w:ascii="Arial" w:hAnsi="Arial" w:cs="Arial"/>
          <w:sz w:val="24"/>
          <w:szCs w:val="24"/>
        </w:rPr>
        <w:t>generar</w:t>
      </w:r>
      <w:r w:rsidR="00D71D7B">
        <w:rPr>
          <w:rFonts w:ascii="Arial" w:hAnsi="Arial" w:cs="Arial"/>
          <w:sz w:val="24"/>
          <w:szCs w:val="24"/>
        </w:rPr>
        <w:t>á</w:t>
      </w:r>
      <w:r w:rsidRPr="003B1FCE">
        <w:rPr>
          <w:rFonts w:ascii="Arial" w:hAnsi="Arial" w:cs="Arial"/>
          <w:sz w:val="24"/>
          <w:szCs w:val="24"/>
        </w:rPr>
        <w:t xml:space="preserve"> guías, manuales y documentos de buenas prácticas</w:t>
      </w:r>
      <w:r w:rsidR="00D71D7B">
        <w:rPr>
          <w:rFonts w:ascii="Arial" w:hAnsi="Arial" w:cs="Arial"/>
          <w:sz w:val="24"/>
          <w:szCs w:val="24"/>
        </w:rPr>
        <w:t>, con el propósito de</w:t>
      </w:r>
      <w:r w:rsidR="00D71D7B" w:rsidRPr="003B1FCE">
        <w:rPr>
          <w:rFonts w:ascii="Arial" w:hAnsi="Arial" w:cs="Arial"/>
          <w:sz w:val="24"/>
          <w:szCs w:val="24"/>
        </w:rPr>
        <w:t xml:space="preserve"> socializarl</w:t>
      </w:r>
      <w:r w:rsidR="00D71D7B">
        <w:rPr>
          <w:rFonts w:ascii="Arial" w:hAnsi="Arial" w:cs="Arial"/>
          <w:sz w:val="24"/>
          <w:szCs w:val="24"/>
        </w:rPr>
        <w:t>o</w:t>
      </w:r>
      <w:r w:rsidR="00D71D7B" w:rsidRPr="003B1FCE">
        <w:rPr>
          <w:rFonts w:ascii="Arial" w:hAnsi="Arial" w:cs="Arial"/>
          <w:sz w:val="24"/>
          <w:szCs w:val="24"/>
        </w:rPr>
        <w:t>s</w:t>
      </w:r>
      <w:r w:rsidR="00D71D7B">
        <w:rPr>
          <w:rFonts w:ascii="Arial" w:hAnsi="Arial" w:cs="Arial"/>
          <w:sz w:val="24"/>
          <w:szCs w:val="24"/>
        </w:rPr>
        <w:t xml:space="preserve"> y así</w:t>
      </w:r>
      <w:r w:rsidRPr="003B1FCE">
        <w:rPr>
          <w:rFonts w:ascii="Arial" w:hAnsi="Arial" w:cs="Arial"/>
          <w:sz w:val="24"/>
          <w:szCs w:val="24"/>
        </w:rPr>
        <w:t xml:space="preserve"> facilitar que otros sujetos obligados puedan alcanzar el mismo resultado en las próximas evaluaciones. </w:t>
      </w:r>
    </w:p>
    <w:p w:rsidR="0075244E" w:rsidRPr="003B1FCE" w:rsidRDefault="0075244E" w:rsidP="0075244E">
      <w:pPr>
        <w:spacing w:before="100" w:beforeAutospacing="1" w:after="100" w:afterAutospacing="1" w:line="360" w:lineRule="auto"/>
        <w:jc w:val="both"/>
        <w:rPr>
          <w:rFonts w:ascii="Arial" w:hAnsi="Arial" w:cs="Arial"/>
        </w:rPr>
      </w:pPr>
    </w:p>
    <w:p w:rsidR="0075244E" w:rsidRPr="003B1FCE" w:rsidRDefault="0075244E">
      <w:pPr>
        <w:spacing w:before="100" w:beforeAutospacing="1" w:after="100" w:afterAutospacing="1" w:line="360" w:lineRule="auto"/>
        <w:jc w:val="both"/>
        <w:rPr>
          <w:rFonts w:ascii="Arial" w:hAnsi="Arial" w:cs="Arial"/>
        </w:rPr>
      </w:pPr>
    </w:p>
    <w:sectPr w:rsidR="0075244E" w:rsidRPr="003B1FCE" w:rsidSect="005E483C">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E85" w:rsidRDefault="00465E85" w:rsidP="009D05E7">
      <w:r>
        <w:separator/>
      </w:r>
    </w:p>
  </w:endnote>
  <w:endnote w:type="continuationSeparator" w:id="0">
    <w:p w:rsidR="00465E85" w:rsidRDefault="00465E85" w:rsidP="009D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387"/>
      <w:gridCol w:w="3451"/>
    </w:tblGrid>
    <w:tr w:rsidR="00356F3F" w:rsidTr="003B1FCE">
      <w:trPr>
        <w:trHeight w:hRule="exact" w:val="115"/>
        <w:jc w:val="center"/>
      </w:trPr>
      <w:tc>
        <w:tcPr>
          <w:tcW w:w="5387" w:type="dxa"/>
          <w:shd w:val="clear" w:color="auto" w:fill="ED7D31" w:themeFill="accent2"/>
          <w:tcMar>
            <w:top w:w="0" w:type="dxa"/>
            <w:bottom w:w="0" w:type="dxa"/>
          </w:tcMar>
        </w:tcPr>
        <w:p w:rsidR="00356F3F" w:rsidRDefault="00356F3F">
          <w:pPr>
            <w:pStyle w:val="Encabezado"/>
            <w:rPr>
              <w:caps/>
              <w:sz w:val="18"/>
            </w:rPr>
          </w:pPr>
        </w:p>
      </w:tc>
      <w:tc>
        <w:tcPr>
          <w:tcW w:w="3451" w:type="dxa"/>
          <w:shd w:val="clear" w:color="auto" w:fill="ED7D31" w:themeFill="accent2"/>
          <w:tcMar>
            <w:top w:w="0" w:type="dxa"/>
            <w:bottom w:w="0" w:type="dxa"/>
          </w:tcMar>
        </w:tcPr>
        <w:p w:rsidR="00356F3F" w:rsidRDefault="00356F3F">
          <w:pPr>
            <w:pStyle w:val="Encabezado"/>
            <w:jc w:val="right"/>
            <w:rPr>
              <w:caps/>
              <w:sz w:val="18"/>
            </w:rPr>
          </w:pPr>
        </w:p>
      </w:tc>
    </w:tr>
    <w:tr w:rsidR="00356F3F" w:rsidTr="009D05E7">
      <w:trPr>
        <w:jc w:val="center"/>
      </w:trPr>
      <w:sdt>
        <w:sdtPr>
          <w:rPr>
            <w:rFonts w:ascii="Arial" w:hAnsi="Arial" w:cs="Arial"/>
            <w:b/>
            <w:bCs/>
            <w:caps/>
            <w:color w:val="ED7D31" w:themeColor="accent2"/>
            <w:sz w:val="16"/>
            <w:szCs w:val="16"/>
          </w:rPr>
          <w:alias w:val="Autor"/>
          <w:tag w:val=""/>
          <w:id w:val="1534151868"/>
          <w:placeholder>
            <w:docPart w:val="0554858EAC00804CB39609674A8F89E7"/>
          </w:placeholder>
          <w:dataBinding w:prefixMappings="xmlns:ns0='http://purl.org/dc/elements/1.1/' xmlns:ns1='http://schemas.openxmlformats.org/package/2006/metadata/core-properties' " w:xpath="/ns1:coreProperties[1]/ns0:creator[1]" w:storeItemID="{6C3C8BC8-F283-45AE-878A-BAB7291924A1}"/>
          <w:text/>
        </w:sdtPr>
        <w:sdtEndPr/>
        <w:sdtContent>
          <w:tc>
            <w:tcPr>
              <w:tcW w:w="5387" w:type="dxa"/>
              <w:shd w:val="clear" w:color="auto" w:fill="auto"/>
              <w:vAlign w:val="center"/>
            </w:tcPr>
            <w:p w:rsidR="00356F3F" w:rsidRPr="003B1FCE" w:rsidRDefault="00356F3F">
              <w:pPr>
                <w:pStyle w:val="Piedepgina"/>
                <w:rPr>
                  <w:rFonts w:ascii="Arial" w:hAnsi="Arial" w:cs="Arial"/>
                  <w:b/>
                  <w:bCs/>
                  <w:caps/>
                  <w:color w:val="ED7D31" w:themeColor="accent2"/>
                  <w:sz w:val="16"/>
                  <w:szCs w:val="16"/>
                </w:rPr>
              </w:pPr>
              <w:r w:rsidRPr="003B1FCE">
                <w:rPr>
                  <w:rFonts w:ascii="Arial" w:hAnsi="Arial" w:cs="Arial"/>
                  <w:b/>
                  <w:bCs/>
                  <w:caps/>
                  <w:color w:val="ED7D31" w:themeColor="accent2"/>
                  <w:sz w:val="16"/>
                  <w:szCs w:val="16"/>
                </w:rPr>
                <w:t>Dirección de Estado Abierto, Estudios y Evaluación</w:t>
              </w:r>
            </w:p>
          </w:tc>
        </w:sdtContent>
      </w:sdt>
      <w:tc>
        <w:tcPr>
          <w:tcW w:w="3451" w:type="dxa"/>
          <w:shd w:val="clear" w:color="auto" w:fill="auto"/>
          <w:vAlign w:val="center"/>
        </w:tcPr>
        <w:p w:rsidR="00356F3F" w:rsidRPr="009D05E7" w:rsidRDefault="00356F3F">
          <w:pPr>
            <w:pStyle w:val="Piedepgina"/>
            <w:jc w:val="right"/>
            <w:rPr>
              <w:rFonts w:ascii="Arial" w:hAnsi="Arial" w:cs="Arial"/>
              <w:b/>
              <w:bCs/>
              <w:caps/>
              <w:color w:val="808080" w:themeColor="background1" w:themeShade="80"/>
              <w:sz w:val="16"/>
              <w:szCs w:val="16"/>
            </w:rPr>
          </w:pPr>
          <w:r w:rsidRPr="003B1FCE">
            <w:rPr>
              <w:rFonts w:ascii="Arial" w:hAnsi="Arial" w:cs="Arial"/>
              <w:b/>
              <w:bCs/>
              <w:caps/>
              <w:color w:val="ED7D31" w:themeColor="accent2"/>
              <w:sz w:val="16"/>
              <w:szCs w:val="16"/>
            </w:rPr>
            <w:fldChar w:fldCharType="begin"/>
          </w:r>
          <w:r w:rsidRPr="003B1FCE">
            <w:rPr>
              <w:rFonts w:ascii="Arial" w:hAnsi="Arial" w:cs="Arial"/>
              <w:b/>
              <w:bCs/>
              <w:caps/>
              <w:color w:val="ED7D31" w:themeColor="accent2"/>
              <w:sz w:val="16"/>
              <w:szCs w:val="16"/>
            </w:rPr>
            <w:instrText>PAGE   \* MERGEFORMAT</w:instrText>
          </w:r>
          <w:r w:rsidRPr="003B1FCE">
            <w:rPr>
              <w:rFonts w:ascii="Arial" w:hAnsi="Arial" w:cs="Arial"/>
              <w:b/>
              <w:bCs/>
              <w:caps/>
              <w:color w:val="ED7D31" w:themeColor="accent2"/>
              <w:sz w:val="16"/>
              <w:szCs w:val="16"/>
            </w:rPr>
            <w:fldChar w:fldCharType="separate"/>
          </w:r>
          <w:r w:rsidRPr="003B1FCE">
            <w:rPr>
              <w:rFonts w:ascii="Arial" w:hAnsi="Arial" w:cs="Arial"/>
              <w:b/>
              <w:bCs/>
              <w:caps/>
              <w:color w:val="ED7D31" w:themeColor="accent2"/>
              <w:sz w:val="16"/>
              <w:szCs w:val="16"/>
            </w:rPr>
            <w:t>2</w:t>
          </w:r>
          <w:r w:rsidRPr="003B1FCE">
            <w:rPr>
              <w:rFonts w:ascii="Arial" w:hAnsi="Arial" w:cs="Arial"/>
              <w:b/>
              <w:bCs/>
              <w:caps/>
              <w:color w:val="ED7D31" w:themeColor="accent2"/>
              <w:sz w:val="16"/>
              <w:szCs w:val="16"/>
            </w:rPr>
            <w:fldChar w:fldCharType="end"/>
          </w:r>
        </w:p>
      </w:tc>
    </w:tr>
  </w:tbl>
  <w:p w:rsidR="00356F3F" w:rsidRDefault="00356F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E85" w:rsidRDefault="00465E85" w:rsidP="009D05E7">
      <w:r>
        <w:separator/>
      </w:r>
    </w:p>
  </w:footnote>
  <w:footnote w:type="continuationSeparator" w:id="0">
    <w:p w:rsidR="00465E85" w:rsidRDefault="00465E85" w:rsidP="009D05E7">
      <w:r>
        <w:continuationSeparator/>
      </w:r>
    </w:p>
  </w:footnote>
  <w:footnote w:id="1">
    <w:p w:rsidR="00356F3F" w:rsidRPr="00897E30" w:rsidRDefault="00356F3F" w:rsidP="000D019A">
      <w:pPr>
        <w:autoSpaceDE w:val="0"/>
        <w:autoSpaceDN w:val="0"/>
        <w:adjustRightInd w:val="0"/>
        <w:spacing w:line="360" w:lineRule="auto"/>
        <w:jc w:val="both"/>
        <w:rPr>
          <w:rFonts w:ascii="Arial" w:hAnsi="Arial" w:cs="Arial"/>
          <w:sz w:val="16"/>
          <w:szCs w:val="16"/>
        </w:rPr>
      </w:pPr>
      <w:r>
        <w:rPr>
          <w:rStyle w:val="Refdenotaalpie"/>
        </w:rPr>
        <w:footnoteRef/>
      </w:r>
      <w:r>
        <w:t xml:space="preserve"> </w:t>
      </w:r>
      <w:r w:rsidRPr="00897E30">
        <w:rPr>
          <w:rFonts w:ascii="Arial" w:hAnsi="Arial" w:cs="Arial"/>
          <w:sz w:val="16"/>
          <w:szCs w:val="16"/>
        </w:rPr>
        <w:t>Secretaría de Desarrollo Social, Secretaría de Finanzas, Centro de Comando, Control, Cómputo, Comunicaciones y Contacto Ciudadano de la Ciudad de México "C5", Metrobús, Tribunal de Justicia Administrativa</w:t>
      </w:r>
      <w:r w:rsidRPr="00897E30">
        <w:rPr>
          <w:rFonts w:ascii="Arial" w:eastAsia="Symbol" w:hAnsi="Arial" w:cs="Arial"/>
          <w:color w:val="000000"/>
          <w:sz w:val="16"/>
          <w:szCs w:val="16"/>
        </w:rPr>
        <w:t xml:space="preserve"> de la Ciudad de México, </w:t>
      </w:r>
      <w:r w:rsidRPr="00897E30">
        <w:rPr>
          <w:rFonts w:ascii="Arial" w:hAnsi="Arial" w:cs="Arial"/>
          <w:sz w:val="16"/>
          <w:szCs w:val="16"/>
        </w:rPr>
        <w:t>Movimiento Ciudadano y Partido Revolucionario Institucional</w:t>
      </w:r>
    </w:p>
    <w:p w:rsidR="00356F3F" w:rsidRPr="00897E30" w:rsidRDefault="00356F3F" w:rsidP="000D019A">
      <w:pPr>
        <w:pStyle w:val="Textonotapie"/>
        <w:rPr>
          <w:lang w:val="es-ES"/>
        </w:rPr>
      </w:pPr>
    </w:p>
  </w:footnote>
  <w:footnote w:id="2">
    <w:p w:rsidR="00356F3F" w:rsidRPr="002B79AC" w:rsidRDefault="00356F3F" w:rsidP="001A6622">
      <w:pPr>
        <w:autoSpaceDE w:val="0"/>
        <w:autoSpaceDN w:val="0"/>
        <w:adjustRightInd w:val="0"/>
        <w:spacing w:line="360" w:lineRule="auto"/>
        <w:jc w:val="both"/>
        <w:rPr>
          <w:rFonts w:ascii="Arial" w:hAnsi="Arial" w:cs="Arial"/>
        </w:rPr>
      </w:pPr>
      <w:r>
        <w:rPr>
          <w:rStyle w:val="Refdenotaalpie"/>
        </w:rPr>
        <w:footnoteRef/>
      </w:r>
      <w:r>
        <w:t xml:space="preserve"> </w:t>
      </w:r>
      <w:r w:rsidRPr="002B79AC">
        <w:rPr>
          <w:rFonts w:ascii="Arial" w:hAnsi="Arial" w:cs="Arial"/>
          <w:sz w:val="16"/>
          <w:szCs w:val="16"/>
        </w:rPr>
        <w:t>Las denominaciones con las que se hace referencia a los sujetos obligados obedecen al nombre con el cual fueron registrados en el Padrón, y debido a que la Evaluación es sobre el ejercicio dos mil dieciocho; se utilizó la nomenclatura plasmada en el Padrón vigente al treinta y uno de diciembre de ese año; no obstante, la verificación se realizó de manera integral a todos los portales de Internet, con independencia de los cambios en su denominación.</w:t>
      </w:r>
    </w:p>
  </w:footnote>
  <w:footnote w:id="3">
    <w:p w:rsidR="00356F3F" w:rsidRPr="00114E33" w:rsidRDefault="00356F3F" w:rsidP="00443C3B">
      <w:pPr>
        <w:pStyle w:val="Textonotapie"/>
        <w:rPr>
          <w:lang w:val="es-ES"/>
        </w:rPr>
      </w:pPr>
      <w:r w:rsidRPr="001A6622">
        <w:rPr>
          <w:rStyle w:val="Refdenotaalpie"/>
        </w:rPr>
        <w:footnoteRef/>
      </w:r>
      <w:r w:rsidRPr="001A6622">
        <w:t xml:space="preserve"> </w:t>
      </w:r>
      <w:r w:rsidRPr="001A6622">
        <w:rPr>
          <w:lang w:val="es-MX"/>
        </w:rPr>
        <w:t>Los preceptos que no se advierta a qué ley se hace referencia, se entenderá que es a la Ley de Transparencia de esta Ciudad de México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F3F" w:rsidRDefault="00356F3F">
    <w:pPr>
      <w:pStyle w:val="Encabezado"/>
    </w:pPr>
    <w:r>
      <w:rPr>
        <w:noProof/>
        <w:lang w:val="en-US"/>
      </w:rPr>
      <w:drawing>
        <wp:anchor distT="0" distB="0" distL="114300" distR="114300" simplePos="0" relativeHeight="251659264" behindDoc="1" locked="0" layoutInCell="1" allowOverlap="1" wp14:anchorId="40CBD46E" wp14:editId="66A15BBF">
          <wp:simplePos x="0" y="0"/>
          <wp:positionH relativeFrom="column">
            <wp:posOffset>-1080654</wp:posOffset>
          </wp:positionH>
          <wp:positionV relativeFrom="paragraph">
            <wp:posOffset>-453448</wp:posOffset>
          </wp:positionV>
          <wp:extent cx="7883811" cy="11749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eca_3ra_Evaluacion-01.jpg"/>
                  <pic:cNvPicPr/>
                </pic:nvPicPr>
                <pic:blipFill>
                  <a:blip r:embed="rId1">
                    <a:extLst>
                      <a:ext uri="{28A0092B-C50C-407E-A947-70E740481C1C}">
                        <a14:useLocalDpi xmlns:a14="http://schemas.microsoft.com/office/drawing/2010/main" val="0"/>
                      </a:ext>
                    </a:extLst>
                  </a:blip>
                  <a:stretch>
                    <a:fillRect/>
                  </a:stretch>
                </pic:blipFill>
                <pic:spPr>
                  <a:xfrm>
                    <a:off x="0" y="0"/>
                    <a:ext cx="7883811" cy="1174991"/>
                  </a:xfrm>
                  <a:prstGeom prst="rect">
                    <a:avLst/>
                  </a:prstGeom>
                </pic:spPr>
              </pic:pic>
            </a:graphicData>
          </a:graphic>
          <wp14:sizeRelH relativeFrom="page">
            <wp14:pctWidth>0</wp14:pctWidth>
          </wp14:sizeRelH>
          <wp14:sizeRelV relativeFrom="page">
            <wp14:pctHeight>0</wp14:pctHeight>
          </wp14:sizeRelV>
        </wp:anchor>
      </w:drawing>
    </w:r>
  </w:p>
  <w:p w:rsidR="00356F3F" w:rsidRDefault="00356F3F">
    <w:pPr>
      <w:pStyle w:val="Encabezado"/>
    </w:pPr>
  </w:p>
  <w:p w:rsidR="00356F3F" w:rsidRDefault="00356F3F">
    <w:pPr>
      <w:pStyle w:val="Encabezado"/>
    </w:pPr>
  </w:p>
  <w:p w:rsidR="00356F3F" w:rsidRDefault="00356F3F">
    <w:pPr>
      <w:pStyle w:val="Encabezado"/>
    </w:pPr>
  </w:p>
  <w:p w:rsidR="00356F3F" w:rsidRDefault="00356F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5DD"/>
    <w:multiLevelType w:val="hybridMultilevel"/>
    <w:tmpl w:val="E4CABF9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60348CD"/>
    <w:multiLevelType w:val="multilevel"/>
    <w:tmpl w:val="51C6902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DD4026"/>
    <w:multiLevelType w:val="hybridMultilevel"/>
    <w:tmpl w:val="8AB81FD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19A635C4"/>
    <w:multiLevelType w:val="multilevel"/>
    <w:tmpl w:val="51C6902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382FED"/>
    <w:multiLevelType w:val="multilevel"/>
    <w:tmpl w:val="51C6902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5B6332"/>
    <w:multiLevelType w:val="hybridMultilevel"/>
    <w:tmpl w:val="12828A90"/>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6" w15:restartNumberingAfterBreak="0">
    <w:nsid w:val="40E54FC9"/>
    <w:multiLevelType w:val="multilevel"/>
    <w:tmpl w:val="51C6902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7D6C11"/>
    <w:multiLevelType w:val="hybridMultilevel"/>
    <w:tmpl w:val="1416D042"/>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E333707"/>
    <w:multiLevelType w:val="multilevel"/>
    <w:tmpl w:val="51C6902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13D45E4"/>
    <w:multiLevelType w:val="multilevel"/>
    <w:tmpl w:val="51C6902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2600E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74334"/>
    <w:multiLevelType w:val="hybridMultilevel"/>
    <w:tmpl w:val="AB50BB3C"/>
    <w:lvl w:ilvl="0" w:tplc="080A000F">
      <w:start w:val="1"/>
      <w:numFmt w:val="decimal"/>
      <w:lvlText w:val="%1."/>
      <w:lvlJc w:val="left"/>
      <w:pPr>
        <w:ind w:left="789" w:hanging="360"/>
      </w:pPr>
    </w:lvl>
    <w:lvl w:ilvl="1" w:tplc="080A0019" w:tentative="1">
      <w:start w:val="1"/>
      <w:numFmt w:val="lowerLetter"/>
      <w:lvlText w:val="%2."/>
      <w:lvlJc w:val="left"/>
      <w:pPr>
        <w:ind w:left="1509" w:hanging="360"/>
      </w:pPr>
    </w:lvl>
    <w:lvl w:ilvl="2" w:tplc="080A001B" w:tentative="1">
      <w:start w:val="1"/>
      <w:numFmt w:val="lowerRoman"/>
      <w:lvlText w:val="%3."/>
      <w:lvlJc w:val="right"/>
      <w:pPr>
        <w:ind w:left="2229" w:hanging="180"/>
      </w:pPr>
    </w:lvl>
    <w:lvl w:ilvl="3" w:tplc="080A000F" w:tentative="1">
      <w:start w:val="1"/>
      <w:numFmt w:val="decimal"/>
      <w:lvlText w:val="%4."/>
      <w:lvlJc w:val="left"/>
      <w:pPr>
        <w:ind w:left="2949" w:hanging="360"/>
      </w:pPr>
    </w:lvl>
    <w:lvl w:ilvl="4" w:tplc="080A0019" w:tentative="1">
      <w:start w:val="1"/>
      <w:numFmt w:val="lowerLetter"/>
      <w:lvlText w:val="%5."/>
      <w:lvlJc w:val="left"/>
      <w:pPr>
        <w:ind w:left="3669" w:hanging="360"/>
      </w:pPr>
    </w:lvl>
    <w:lvl w:ilvl="5" w:tplc="080A001B" w:tentative="1">
      <w:start w:val="1"/>
      <w:numFmt w:val="lowerRoman"/>
      <w:lvlText w:val="%6."/>
      <w:lvlJc w:val="right"/>
      <w:pPr>
        <w:ind w:left="4389" w:hanging="180"/>
      </w:pPr>
    </w:lvl>
    <w:lvl w:ilvl="6" w:tplc="080A000F" w:tentative="1">
      <w:start w:val="1"/>
      <w:numFmt w:val="decimal"/>
      <w:lvlText w:val="%7."/>
      <w:lvlJc w:val="left"/>
      <w:pPr>
        <w:ind w:left="5109" w:hanging="360"/>
      </w:pPr>
    </w:lvl>
    <w:lvl w:ilvl="7" w:tplc="080A0019" w:tentative="1">
      <w:start w:val="1"/>
      <w:numFmt w:val="lowerLetter"/>
      <w:lvlText w:val="%8."/>
      <w:lvlJc w:val="left"/>
      <w:pPr>
        <w:ind w:left="5829" w:hanging="360"/>
      </w:pPr>
    </w:lvl>
    <w:lvl w:ilvl="8" w:tplc="080A001B" w:tentative="1">
      <w:start w:val="1"/>
      <w:numFmt w:val="lowerRoman"/>
      <w:lvlText w:val="%9."/>
      <w:lvlJc w:val="right"/>
      <w:pPr>
        <w:ind w:left="6549" w:hanging="180"/>
      </w:pPr>
    </w:lvl>
  </w:abstractNum>
  <w:abstractNum w:abstractNumId="12" w15:restartNumberingAfterBreak="0">
    <w:nsid w:val="6AB14E5D"/>
    <w:multiLevelType w:val="multilevel"/>
    <w:tmpl w:val="51C6902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D872B04"/>
    <w:multiLevelType w:val="hybridMultilevel"/>
    <w:tmpl w:val="12828A90"/>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14" w15:restartNumberingAfterBreak="0">
    <w:nsid w:val="71B509A0"/>
    <w:multiLevelType w:val="hybridMultilevel"/>
    <w:tmpl w:val="12828A90"/>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15" w15:restartNumberingAfterBreak="0">
    <w:nsid w:val="78F656A3"/>
    <w:multiLevelType w:val="multilevel"/>
    <w:tmpl w:val="51C6902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9"/>
  </w:num>
  <w:num w:numId="3">
    <w:abstractNumId w:val="13"/>
  </w:num>
  <w:num w:numId="4">
    <w:abstractNumId w:val="5"/>
  </w:num>
  <w:num w:numId="5">
    <w:abstractNumId w:val="1"/>
  </w:num>
  <w:num w:numId="6">
    <w:abstractNumId w:val="14"/>
  </w:num>
  <w:num w:numId="7">
    <w:abstractNumId w:val="15"/>
  </w:num>
  <w:num w:numId="8">
    <w:abstractNumId w:val="4"/>
  </w:num>
  <w:num w:numId="9">
    <w:abstractNumId w:val="2"/>
  </w:num>
  <w:num w:numId="10">
    <w:abstractNumId w:val="7"/>
  </w:num>
  <w:num w:numId="11">
    <w:abstractNumId w:val="0"/>
  </w:num>
  <w:num w:numId="12">
    <w:abstractNumId w:val="8"/>
  </w:num>
  <w:num w:numId="13">
    <w:abstractNumId w:val="6"/>
  </w:num>
  <w:num w:numId="14">
    <w:abstractNumId w:val="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F3"/>
    <w:rsid w:val="00071E52"/>
    <w:rsid w:val="0007356A"/>
    <w:rsid w:val="000D019A"/>
    <w:rsid w:val="00107609"/>
    <w:rsid w:val="00130AF5"/>
    <w:rsid w:val="00151E44"/>
    <w:rsid w:val="00154BA9"/>
    <w:rsid w:val="001A6622"/>
    <w:rsid w:val="001C2DF6"/>
    <w:rsid w:val="001D07E6"/>
    <w:rsid w:val="001F7251"/>
    <w:rsid w:val="002132FC"/>
    <w:rsid w:val="00243704"/>
    <w:rsid w:val="002C1549"/>
    <w:rsid w:val="002D2A1D"/>
    <w:rsid w:val="002E7CF1"/>
    <w:rsid w:val="00322811"/>
    <w:rsid w:val="00326219"/>
    <w:rsid w:val="00356F3F"/>
    <w:rsid w:val="00385157"/>
    <w:rsid w:val="003B1FCE"/>
    <w:rsid w:val="003D3FB7"/>
    <w:rsid w:val="00443C3B"/>
    <w:rsid w:val="00465E85"/>
    <w:rsid w:val="00474285"/>
    <w:rsid w:val="004828F3"/>
    <w:rsid w:val="004903C6"/>
    <w:rsid w:val="004D62A7"/>
    <w:rsid w:val="004F4C6E"/>
    <w:rsid w:val="00501317"/>
    <w:rsid w:val="00521DAB"/>
    <w:rsid w:val="005730F5"/>
    <w:rsid w:val="005E483C"/>
    <w:rsid w:val="00632D2C"/>
    <w:rsid w:val="006367E2"/>
    <w:rsid w:val="00666F25"/>
    <w:rsid w:val="00677E37"/>
    <w:rsid w:val="00721802"/>
    <w:rsid w:val="00725577"/>
    <w:rsid w:val="0075244E"/>
    <w:rsid w:val="00756F04"/>
    <w:rsid w:val="00761D3B"/>
    <w:rsid w:val="007753E0"/>
    <w:rsid w:val="007E533F"/>
    <w:rsid w:val="008015A8"/>
    <w:rsid w:val="008C0C30"/>
    <w:rsid w:val="008C42CC"/>
    <w:rsid w:val="00900995"/>
    <w:rsid w:val="00920167"/>
    <w:rsid w:val="009217D9"/>
    <w:rsid w:val="00974CBA"/>
    <w:rsid w:val="00990C71"/>
    <w:rsid w:val="009D05E7"/>
    <w:rsid w:val="009D6D61"/>
    <w:rsid w:val="00A404BF"/>
    <w:rsid w:val="00A84315"/>
    <w:rsid w:val="00AD68DB"/>
    <w:rsid w:val="00AE1855"/>
    <w:rsid w:val="00B018FB"/>
    <w:rsid w:val="00B31420"/>
    <w:rsid w:val="00B31CF3"/>
    <w:rsid w:val="00B65C89"/>
    <w:rsid w:val="00B7332B"/>
    <w:rsid w:val="00BB29B8"/>
    <w:rsid w:val="00BC17F0"/>
    <w:rsid w:val="00C36EEB"/>
    <w:rsid w:val="00C4407F"/>
    <w:rsid w:val="00C55597"/>
    <w:rsid w:val="00C60C1A"/>
    <w:rsid w:val="00C67ED5"/>
    <w:rsid w:val="00CB3822"/>
    <w:rsid w:val="00CD42C9"/>
    <w:rsid w:val="00CF7AC7"/>
    <w:rsid w:val="00D0295D"/>
    <w:rsid w:val="00D22171"/>
    <w:rsid w:val="00D23BCA"/>
    <w:rsid w:val="00D26BD3"/>
    <w:rsid w:val="00D71D7B"/>
    <w:rsid w:val="00DC1BCA"/>
    <w:rsid w:val="00DC25B3"/>
    <w:rsid w:val="00DF5964"/>
    <w:rsid w:val="00E2708E"/>
    <w:rsid w:val="00E53A1A"/>
    <w:rsid w:val="00E55AB5"/>
    <w:rsid w:val="00EB2611"/>
    <w:rsid w:val="00EF4482"/>
    <w:rsid w:val="00F04A2C"/>
    <w:rsid w:val="00F32E3A"/>
    <w:rsid w:val="00F3726F"/>
    <w:rsid w:val="00F64E7A"/>
    <w:rsid w:val="00F841BB"/>
    <w:rsid w:val="00FF5144"/>
    <w:rsid w:val="00FF7B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CF605-424C-3943-8073-62F029F5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7D9"/>
    <w:rPr>
      <w:rFonts w:ascii="Times New Roman" w:eastAsia="Times New Roman" w:hAnsi="Times New Roman" w:cs="Times New Roman"/>
      <w:lang w:val="es-ES" w:eastAsia="es-MX"/>
    </w:rPr>
  </w:style>
  <w:style w:type="paragraph" w:styleId="Ttulo1">
    <w:name w:val="heading 1"/>
    <w:basedOn w:val="Normal"/>
    <w:next w:val="Normal"/>
    <w:link w:val="Ttulo1Car"/>
    <w:uiPriority w:val="9"/>
    <w:qFormat/>
    <w:rsid w:val="004828F3"/>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next w:val="Normal"/>
    <w:link w:val="Ttulo2Car"/>
    <w:uiPriority w:val="9"/>
    <w:unhideWhenUsed/>
    <w:qFormat/>
    <w:rsid w:val="004828F3"/>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28F3"/>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rsid w:val="004828F3"/>
    <w:rPr>
      <w:rFonts w:asciiTheme="majorHAnsi" w:eastAsiaTheme="majorEastAsia" w:hAnsiTheme="majorHAnsi" w:cstheme="majorBidi"/>
      <w:color w:val="2F5496" w:themeColor="accent1" w:themeShade="BF"/>
      <w:sz w:val="26"/>
      <w:szCs w:val="26"/>
      <w:lang w:val="es-ES_tradnl"/>
    </w:rPr>
  </w:style>
  <w:style w:type="paragraph" w:styleId="Prrafodelista">
    <w:name w:val="List Paragraph"/>
    <w:basedOn w:val="Normal"/>
    <w:uiPriority w:val="34"/>
    <w:qFormat/>
    <w:rsid w:val="004828F3"/>
    <w:pPr>
      <w:spacing w:after="160" w:line="259"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39"/>
    <w:rsid w:val="004828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D05E7"/>
    <w:pPr>
      <w:tabs>
        <w:tab w:val="center" w:pos="4419"/>
        <w:tab w:val="right" w:pos="8838"/>
      </w:tabs>
    </w:pPr>
  </w:style>
  <w:style w:type="character" w:customStyle="1" w:styleId="EncabezadoCar">
    <w:name w:val="Encabezado Car"/>
    <w:basedOn w:val="Fuentedeprrafopredeter"/>
    <w:link w:val="Encabezado"/>
    <w:uiPriority w:val="99"/>
    <w:rsid w:val="009D05E7"/>
    <w:rPr>
      <w:rFonts w:ascii="Times New Roman" w:eastAsia="Times New Roman" w:hAnsi="Times New Roman" w:cs="Times New Roman"/>
      <w:lang w:val="es-ES" w:eastAsia="es-ES_tradnl"/>
    </w:rPr>
  </w:style>
  <w:style w:type="paragraph" w:styleId="Piedepgina">
    <w:name w:val="footer"/>
    <w:basedOn w:val="Normal"/>
    <w:link w:val="PiedepginaCar"/>
    <w:uiPriority w:val="99"/>
    <w:unhideWhenUsed/>
    <w:rsid w:val="009D05E7"/>
    <w:pPr>
      <w:tabs>
        <w:tab w:val="center" w:pos="4419"/>
        <w:tab w:val="right" w:pos="8838"/>
      </w:tabs>
    </w:pPr>
  </w:style>
  <w:style w:type="character" w:customStyle="1" w:styleId="PiedepginaCar">
    <w:name w:val="Pie de página Car"/>
    <w:basedOn w:val="Fuentedeprrafopredeter"/>
    <w:link w:val="Piedepgina"/>
    <w:uiPriority w:val="99"/>
    <w:rsid w:val="009D05E7"/>
    <w:rPr>
      <w:rFonts w:ascii="Times New Roman" w:eastAsia="Times New Roman" w:hAnsi="Times New Roman" w:cs="Times New Roman"/>
      <w:lang w:val="es-ES" w:eastAsia="es-ES_tradnl"/>
    </w:rPr>
  </w:style>
  <w:style w:type="paragraph" w:styleId="Textonotapie">
    <w:name w:val="footnote text"/>
    <w:basedOn w:val="Normal"/>
    <w:link w:val="TextonotapieCar"/>
    <w:uiPriority w:val="99"/>
    <w:semiHidden/>
    <w:unhideWhenUsed/>
    <w:rsid w:val="00443C3B"/>
    <w:rPr>
      <w:rFonts w:asciiTheme="minorHAnsi" w:eastAsiaTheme="minorHAnsi" w:hAnsiTheme="minorHAnsi" w:cstheme="minorBidi"/>
      <w:sz w:val="20"/>
      <w:szCs w:val="20"/>
      <w:lang w:val="es-ES_tradnl" w:eastAsia="en-US"/>
    </w:rPr>
  </w:style>
  <w:style w:type="character" w:customStyle="1" w:styleId="TextonotapieCar">
    <w:name w:val="Texto nota pie Car"/>
    <w:basedOn w:val="Fuentedeprrafopredeter"/>
    <w:link w:val="Textonotapie"/>
    <w:uiPriority w:val="99"/>
    <w:semiHidden/>
    <w:rsid w:val="00443C3B"/>
    <w:rPr>
      <w:sz w:val="20"/>
      <w:szCs w:val="20"/>
      <w:lang w:val="es-ES_tradnl"/>
    </w:rPr>
  </w:style>
  <w:style w:type="character" w:styleId="Refdenotaalpie">
    <w:name w:val="footnote reference"/>
    <w:basedOn w:val="Fuentedeprrafopredeter"/>
    <w:uiPriority w:val="99"/>
    <w:semiHidden/>
    <w:unhideWhenUsed/>
    <w:rsid w:val="00443C3B"/>
    <w:rPr>
      <w:vertAlign w:val="superscript"/>
    </w:rPr>
  </w:style>
  <w:style w:type="character" w:customStyle="1" w:styleId="normaltextrun">
    <w:name w:val="normaltextrun"/>
    <w:basedOn w:val="Fuentedeprrafopredeter"/>
    <w:rsid w:val="001A6622"/>
  </w:style>
  <w:style w:type="paragraph" w:styleId="TtuloTDC">
    <w:name w:val="TOC Heading"/>
    <w:basedOn w:val="Ttulo1"/>
    <w:next w:val="Normal"/>
    <w:uiPriority w:val="39"/>
    <w:unhideWhenUsed/>
    <w:qFormat/>
    <w:rsid w:val="000D019A"/>
    <w:pPr>
      <w:spacing w:before="480" w:line="276" w:lineRule="auto"/>
      <w:outlineLvl w:val="9"/>
    </w:pPr>
    <w:rPr>
      <w:b/>
      <w:bCs/>
      <w:sz w:val="28"/>
      <w:szCs w:val="28"/>
      <w:lang w:val="es-MX" w:eastAsia="es-MX"/>
    </w:rPr>
  </w:style>
  <w:style w:type="paragraph" w:styleId="TDC1">
    <w:name w:val="toc 1"/>
    <w:basedOn w:val="Normal"/>
    <w:next w:val="Normal"/>
    <w:autoRedefine/>
    <w:uiPriority w:val="39"/>
    <w:unhideWhenUsed/>
    <w:rsid w:val="000D019A"/>
    <w:pPr>
      <w:spacing w:before="120"/>
    </w:pPr>
    <w:rPr>
      <w:rFonts w:asciiTheme="minorHAnsi" w:hAnsiTheme="minorHAnsi"/>
      <w:b/>
      <w:bCs/>
      <w:i/>
      <w:iCs/>
    </w:rPr>
  </w:style>
  <w:style w:type="paragraph" w:styleId="TDC2">
    <w:name w:val="toc 2"/>
    <w:basedOn w:val="Normal"/>
    <w:next w:val="Normal"/>
    <w:autoRedefine/>
    <w:uiPriority w:val="39"/>
    <w:unhideWhenUsed/>
    <w:rsid w:val="000D019A"/>
    <w:pPr>
      <w:spacing w:before="120"/>
      <w:ind w:left="240"/>
    </w:pPr>
    <w:rPr>
      <w:rFonts w:asciiTheme="minorHAnsi" w:hAnsiTheme="minorHAnsi"/>
      <w:b/>
      <w:bCs/>
      <w:sz w:val="22"/>
      <w:szCs w:val="22"/>
    </w:rPr>
  </w:style>
  <w:style w:type="character" w:styleId="Hipervnculo">
    <w:name w:val="Hyperlink"/>
    <w:basedOn w:val="Fuentedeprrafopredeter"/>
    <w:uiPriority w:val="99"/>
    <w:unhideWhenUsed/>
    <w:rsid w:val="000D019A"/>
    <w:rPr>
      <w:color w:val="0563C1" w:themeColor="hyperlink"/>
      <w:u w:val="single"/>
    </w:rPr>
  </w:style>
  <w:style w:type="paragraph" w:styleId="TDC3">
    <w:name w:val="toc 3"/>
    <w:basedOn w:val="Normal"/>
    <w:next w:val="Normal"/>
    <w:autoRedefine/>
    <w:uiPriority w:val="39"/>
    <w:semiHidden/>
    <w:unhideWhenUsed/>
    <w:rsid w:val="000D019A"/>
    <w:pPr>
      <w:ind w:left="480"/>
    </w:pPr>
    <w:rPr>
      <w:rFonts w:asciiTheme="minorHAnsi" w:hAnsiTheme="minorHAnsi"/>
      <w:sz w:val="20"/>
      <w:szCs w:val="20"/>
    </w:rPr>
  </w:style>
  <w:style w:type="paragraph" w:styleId="TDC4">
    <w:name w:val="toc 4"/>
    <w:basedOn w:val="Normal"/>
    <w:next w:val="Normal"/>
    <w:autoRedefine/>
    <w:uiPriority w:val="39"/>
    <w:semiHidden/>
    <w:unhideWhenUsed/>
    <w:rsid w:val="000D019A"/>
    <w:pPr>
      <w:ind w:left="720"/>
    </w:pPr>
    <w:rPr>
      <w:rFonts w:asciiTheme="minorHAnsi" w:hAnsiTheme="minorHAnsi"/>
      <w:sz w:val="20"/>
      <w:szCs w:val="20"/>
    </w:rPr>
  </w:style>
  <w:style w:type="paragraph" w:styleId="TDC5">
    <w:name w:val="toc 5"/>
    <w:basedOn w:val="Normal"/>
    <w:next w:val="Normal"/>
    <w:autoRedefine/>
    <w:uiPriority w:val="39"/>
    <w:semiHidden/>
    <w:unhideWhenUsed/>
    <w:rsid w:val="000D019A"/>
    <w:pPr>
      <w:ind w:left="960"/>
    </w:pPr>
    <w:rPr>
      <w:rFonts w:asciiTheme="minorHAnsi" w:hAnsiTheme="minorHAnsi"/>
      <w:sz w:val="20"/>
      <w:szCs w:val="20"/>
    </w:rPr>
  </w:style>
  <w:style w:type="paragraph" w:styleId="TDC6">
    <w:name w:val="toc 6"/>
    <w:basedOn w:val="Normal"/>
    <w:next w:val="Normal"/>
    <w:autoRedefine/>
    <w:uiPriority w:val="39"/>
    <w:semiHidden/>
    <w:unhideWhenUsed/>
    <w:rsid w:val="000D019A"/>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0D019A"/>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0D019A"/>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0D019A"/>
    <w:pPr>
      <w:ind w:left="1920"/>
    </w:pPr>
    <w:rPr>
      <w:rFonts w:asciiTheme="minorHAnsi" w:hAnsiTheme="minorHAnsi"/>
      <w:sz w:val="20"/>
      <w:szCs w:val="20"/>
    </w:rPr>
  </w:style>
  <w:style w:type="paragraph" w:styleId="Textodeglobo">
    <w:name w:val="Balloon Text"/>
    <w:basedOn w:val="Normal"/>
    <w:link w:val="TextodegloboCar"/>
    <w:uiPriority w:val="99"/>
    <w:semiHidden/>
    <w:unhideWhenUsed/>
    <w:rsid w:val="00F32E3A"/>
    <w:rPr>
      <w:sz w:val="18"/>
      <w:szCs w:val="18"/>
    </w:rPr>
  </w:style>
  <w:style w:type="character" w:customStyle="1" w:styleId="TextodegloboCar">
    <w:name w:val="Texto de globo Car"/>
    <w:basedOn w:val="Fuentedeprrafopredeter"/>
    <w:link w:val="Textodeglobo"/>
    <w:uiPriority w:val="99"/>
    <w:semiHidden/>
    <w:rsid w:val="00F32E3A"/>
    <w:rPr>
      <w:rFonts w:ascii="Times New Roman" w:eastAsia="Times New Roman" w:hAnsi="Times New Roman" w:cs="Times New Roman"/>
      <w:sz w:val="18"/>
      <w:szCs w:val="1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94481">
      <w:bodyDiv w:val="1"/>
      <w:marLeft w:val="0"/>
      <w:marRight w:val="0"/>
      <w:marTop w:val="0"/>
      <w:marBottom w:val="0"/>
      <w:divBdr>
        <w:top w:val="none" w:sz="0" w:space="0" w:color="auto"/>
        <w:left w:val="none" w:sz="0" w:space="0" w:color="auto"/>
        <w:bottom w:val="none" w:sz="0" w:space="0" w:color="auto"/>
        <w:right w:val="none" w:sz="0" w:space="0" w:color="auto"/>
      </w:divBdr>
    </w:div>
    <w:div w:id="430735088">
      <w:bodyDiv w:val="1"/>
      <w:marLeft w:val="0"/>
      <w:marRight w:val="0"/>
      <w:marTop w:val="0"/>
      <w:marBottom w:val="0"/>
      <w:divBdr>
        <w:top w:val="none" w:sz="0" w:space="0" w:color="auto"/>
        <w:left w:val="none" w:sz="0" w:space="0" w:color="auto"/>
        <w:bottom w:val="none" w:sz="0" w:space="0" w:color="auto"/>
        <w:right w:val="none" w:sz="0" w:space="0" w:color="auto"/>
      </w:divBdr>
    </w:div>
    <w:div w:id="450251906">
      <w:bodyDiv w:val="1"/>
      <w:marLeft w:val="0"/>
      <w:marRight w:val="0"/>
      <w:marTop w:val="0"/>
      <w:marBottom w:val="0"/>
      <w:divBdr>
        <w:top w:val="none" w:sz="0" w:space="0" w:color="auto"/>
        <w:left w:val="none" w:sz="0" w:space="0" w:color="auto"/>
        <w:bottom w:val="none" w:sz="0" w:space="0" w:color="auto"/>
        <w:right w:val="none" w:sz="0" w:space="0" w:color="auto"/>
      </w:divBdr>
    </w:div>
    <w:div w:id="550701052">
      <w:bodyDiv w:val="1"/>
      <w:marLeft w:val="0"/>
      <w:marRight w:val="0"/>
      <w:marTop w:val="0"/>
      <w:marBottom w:val="0"/>
      <w:divBdr>
        <w:top w:val="none" w:sz="0" w:space="0" w:color="auto"/>
        <w:left w:val="none" w:sz="0" w:space="0" w:color="auto"/>
        <w:bottom w:val="none" w:sz="0" w:space="0" w:color="auto"/>
        <w:right w:val="none" w:sz="0" w:space="0" w:color="auto"/>
      </w:divBdr>
    </w:div>
    <w:div w:id="647709904">
      <w:bodyDiv w:val="1"/>
      <w:marLeft w:val="0"/>
      <w:marRight w:val="0"/>
      <w:marTop w:val="0"/>
      <w:marBottom w:val="0"/>
      <w:divBdr>
        <w:top w:val="none" w:sz="0" w:space="0" w:color="auto"/>
        <w:left w:val="none" w:sz="0" w:space="0" w:color="auto"/>
        <w:bottom w:val="none" w:sz="0" w:space="0" w:color="auto"/>
        <w:right w:val="none" w:sz="0" w:space="0" w:color="auto"/>
      </w:divBdr>
    </w:div>
    <w:div w:id="1119564200">
      <w:bodyDiv w:val="1"/>
      <w:marLeft w:val="0"/>
      <w:marRight w:val="0"/>
      <w:marTop w:val="0"/>
      <w:marBottom w:val="0"/>
      <w:divBdr>
        <w:top w:val="none" w:sz="0" w:space="0" w:color="auto"/>
        <w:left w:val="none" w:sz="0" w:space="0" w:color="auto"/>
        <w:bottom w:val="none" w:sz="0" w:space="0" w:color="auto"/>
        <w:right w:val="none" w:sz="0" w:space="0" w:color="auto"/>
      </w:divBdr>
    </w:div>
    <w:div w:id="1202480852">
      <w:bodyDiv w:val="1"/>
      <w:marLeft w:val="0"/>
      <w:marRight w:val="0"/>
      <w:marTop w:val="0"/>
      <w:marBottom w:val="0"/>
      <w:divBdr>
        <w:top w:val="none" w:sz="0" w:space="0" w:color="auto"/>
        <w:left w:val="none" w:sz="0" w:space="0" w:color="auto"/>
        <w:bottom w:val="none" w:sz="0" w:space="0" w:color="auto"/>
        <w:right w:val="none" w:sz="0" w:space="0" w:color="auto"/>
      </w:divBdr>
    </w:div>
    <w:div w:id="1210072897">
      <w:bodyDiv w:val="1"/>
      <w:marLeft w:val="0"/>
      <w:marRight w:val="0"/>
      <w:marTop w:val="0"/>
      <w:marBottom w:val="0"/>
      <w:divBdr>
        <w:top w:val="none" w:sz="0" w:space="0" w:color="auto"/>
        <w:left w:val="none" w:sz="0" w:space="0" w:color="auto"/>
        <w:bottom w:val="none" w:sz="0" w:space="0" w:color="auto"/>
        <w:right w:val="none" w:sz="0" w:space="0" w:color="auto"/>
      </w:divBdr>
    </w:div>
    <w:div w:id="1239904394">
      <w:bodyDiv w:val="1"/>
      <w:marLeft w:val="0"/>
      <w:marRight w:val="0"/>
      <w:marTop w:val="0"/>
      <w:marBottom w:val="0"/>
      <w:divBdr>
        <w:top w:val="none" w:sz="0" w:space="0" w:color="auto"/>
        <w:left w:val="none" w:sz="0" w:space="0" w:color="auto"/>
        <w:bottom w:val="none" w:sz="0" w:space="0" w:color="auto"/>
        <w:right w:val="none" w:sz="0" w:space="0" w:color="auto"/>
      </w:divBdr>
    </w:div>
    <w:div w:id="1290744068">
      <w:bodyDiv w:val="1"/>
      <w:marLeft w:val="0"/>
      <w:marRight w:val="0"/>
      <w:marTop w:val="0"/>
      <w:marBottom w:val="0"/>
      <w:divBdr>
        <w:top w:val="none" w:sz="0" w:space="0" w:color="auto"/>
        <w:left w:val="none" w:sz="0" w:space="0" w:color="auto"/>
        <w:bottom w:val="none" w:sz="0" w:space="0" w:color="auto"/>
        <w:right w:val="none" w:sz="0" w:space="0" w:color="auto"/>
      </w:divBdr>
    </w:div>
    <w:div w:id="1415205137">
      <w:bodyDiv w:val="1"/>
      <w:marLeft w:val="0"/>
      <w:marRight w:val="0"/>
      <w:marTop w:val="0"/>
      <w:marBottom w:val="0"/>
      <w:divBdr>
        <w:top w:val="none" w:sz="0" w:space="0" w:color="auto"/>
        <w:left w:val="none" w:sz="0" w:space="0" w:color="auto"/>
        <w:bottom w:val="none" w:sz="0" w:space="0" w:color="auto"/>
        <w:right w:val="none" w:sz="0" w:space="0" w:color="auto"/>
      </w:divBdr>
    </w:div>
    <w:div w:id="1656296607">
      <w:bodyDiv w:val="1"/>
      <w:marLeft w:val="0"/>
      <w:marRight w:val="0"/>
      <w:marTop w:val="0"/>
      <w:marBottom w:val="0"/>
      <w:divBdr>
        <w:top w:val="none" w:sz="0" w:space="0" w:color="auto"/>
        <w:left w:val="none" w:sz="0" w:space="0" w:color="auto"/>
        <w:bottom w:val="none" w:sz="0" w:space="0" w:color="auto"/>
        <w:right w:val="none" w:sz="0" w:space="0" w:color="auto"/>
      </w:divBdr>
    </w:div>
    <w:div w:id="19575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df.org.mx/LTAIPRC-2016-OT/Art121/Fr01/2019/Acuerdos/A121Fr01_2019-T01_Acdo-2019-08-07-213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MX"/>
              <a:t>Resultados de la 3a evaluación vinculante por ámbito</a:t>
            </a:r>
          </a:p>
        </c:rich>
      </c:tx>
      <c:layout>
        <c:manualLayout>
          <c:xMode val="edge"/>
          <c:yMode val="edge"/>
          <c:x val="0.11266177739430541"/>
          <c:y val="2.0404693079408263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44172663312919219"/>
          <c:y val="0.25916760404949385"/>
          <c:w val="0.52123651210265387"/>
          <c:h val="0.57019747531558551"/>
        </c:manualLayout>
      </c:layout>
      <c:barChart>
        <c:barDir val="bar"/>
        <c:grouping val="stacked"/>
        <c:varyColors val="0"/>
        <c:ser>
          <c:idx val="1"/>
          <c:order val="0"/>
          <c:tx>
            <c:strRef>
              <c:f>Hoja1!$C$1</c:f>
              <c:strCache>
                <c:ptCount val="1"/>
                <c:pt idx="0">
                  <c:v>Cumplimiento total (100 puntos)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Hoja1!$A$2:$A$10</c:f>
              <c:strCache>
                <c:ptCount val="8"/>
                <c:pt idx="0">
                  <c:v>Administración Pública Centralizada</c:v>
                </c:pt>
                <c:pt idx="1">
                  <c:v>Desconcentrados y Paraestatales Descentralizados, Auxiliares</c:v>
                </c:pt>
                <c:pt idx="2">
                  <c:v>Demarcaciones Políticas / Alcaldías</c:v>
                </c:pt>
                <c:pt idx="3">
                  <c:v>Poder Legislativo</c:v>
                </c:pt>
                <c:pt idx="4">
                  <c:v>Poder Judicial</c:v>
                </c:pt>
                <c:pt idx="5">
                  <c:v>Órganos Autónomos</c:v>
                </c:pt>
                <c:pt idx="6">
                  <c:v>Partidos Políticos</c:v>
                </c:pt>
                <c:pt idx="7">
                  <c:v>Sindicatos</c:v>
                </c:pt>
              </c:strCache>
            </c:strRef>
          </c:cat>
          <c:val>
            <c:numRef>
              <c:f>Hoja1!$C$2:$C$10</c:f>
              <c:numCache>
                <c:formatCode>General</c:formatCode>
                <c:ptCount val="9"/>
                <c:pt idx="0">
                  <c:v>9</c:v>
                </c:pt>
                <c:pt idx="1">
                  <c:v>8</c:v>
                </c:pt>
                <c:pt idx="2">
                  <c:v>3</c:v>
                </c:pt>
                <c:pt idx="3">
                  <c:v>1</c:v>
                </c:pt>
                <c:pt idx="4">
                  <c:v>1</c:v>
                </c:pt>
                <c:pt idx="5">
                  <c:v>3</c:v>
                </c:pt>
                <c:pt idx="6">
                  <c:v>2</c:v>
                </c:pt>
              </c:numCache>
            </c:numRef>
          </c:val>
          <c:extLst>
            <c:ext xmlns:c16="http://schemas.microsoft.com/office/drawing/2014/chart" uri="{C3380CC4-5D6E-409C-BE32-E72D297353CC}">
              <c16:uniqueId val="{00000000-811A-1748-A01B-655F3D4CF3A6}"/>
            </c:ext>
          </c:extLst>
        </c:ser>
        <c:ser>
          <c:idx val="2"/>
          <c:order val="1"/>
          <c:tx>
            <c:strRef>
              <c:f>Hoja1!$D$1</c:f>
              <c:strCache>
                <c:ptCount val="1"/>
                <c:pt idx="0">
                  <c:v>Cumplimiento parcial (60 a 99.99 puntos)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Hoja1!$A$2:$A$10</c:f>
              <c:strCache>
                <c:ptCount val="8"/>
                <c:pt idx="0">
                  <c:v>Administración Pública Centralizada</c:v>
                </c:pt>
                <c:pt idx="1">
                  <c:v>Desconcentrados y Paraestatales Descentralizados, Auxiliares</c:v>
                </c:pt>
                <c:pt idx="2">
                  <c:v>Demarcaciones Políticas / Alcaldías</c:v>
                </c:pt>
                <c:pt idx="3">
                  <c:v>Poder Legislativo</c:v>
                </c:pt>
                <c:pt idx="4">
                  <c:v>Poder Judicial</c:v>
                </c:pt>
                <c:pt idx="5">
                  <c:v>Órganos Autónomos</c:v>
                </c:pt>
                <c:pt idx="6">
                  <c:v>Partidos Políticos</c:v>
                </c:pt>
                <c:pt idx="7">
                  <c:v>Sindicatos</c:v>
                </c:pt>
              </c:strCache>
            </c:strRef>
          </c:cat>
          <c:val>
            <c:numRef>
              <c:f>Hoja1!$D$2:$D$10</c:f>
              <c:numCache>
                <c:formatCode>General</c:formatCode>
                <c:ptCount val="9"/>
                <c:pt idx="0">
                  <c:v>11</c:v>
                </c:pt>
                <c:pt idx="1">
                  <c:v>49</c:v>
                </c:pt>
                <c:pt idx="2">
                  <c:v>13</c:v>
                </c:pt>
                <c:pt idx="3">
                  <c:v>1</c:v>
                </c:pt>
                <c:pt idx="4">
                  <c:v>1</c:v>
                </c:pt>
                <c:pt idx="5">
                  <c:v>3</c:v>
                </c:pt>
                <c:pt idx="6">
                  <c:v>1</c:v>
                </c:pt>
                <c:pt idx="7">
                  <c:v>5</c:v>
                </c:pt>
              </c:numCache>
            </c:numRef>
          </c:val>
          <c:extLst>
            <c:ext xmlns:c16="http://schemas.microsoft.com/office/drawing/2014/chart" uri="{C3380CC4-5D6E-409C-BE32-E72D297353CC}">
              <c16:uniqueId val="{00000001-811A-1748-A01B-655F3D4CF3A6}"/>
            </c:ext>
          </c:extLst>
        </c:ser>
        <c:ser>
          <c:idx val="3"/>
          <c:order val="2"/>
          <c:tx>
            <c:strRef>
              <c:f>Hoja1!$E$1</c:f>
              <c:strCache>
                <c:ptCount val="1"/>
                <c:pt idx="0">
                  <c:v>Incumplimiento parcial (1 a 59.99 puntos)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Hoja1!$A$2:$A$10</c:f>
              <c:strCache>
                <c:ptCount val="8"/>
                <c:pt idx="0">
                  <c:v>Administración Pública Centralizada</c:v>
                </c:pt>
                <c:pt idx="1">
                  <c:v>Desconcentrados y Paraestatales Descentralizados, Auxiliares</c:v>
                </c:pt>
                <c:pt idx="2">
                  <c:v>Demarcaciones Políticas / Alcaldías</c:v>
                </c:pt>
                <c:pt idx="3">
                  <c:v>Poder Legislativo</c:v>
                </c:pt>
                <c:pt idx="4">
                  <c:v>Poder Judicial</c:v>
                </c:pt>
                <c:pt idx="5">
                  <c:v>Órganos Autónomos</c:v>
                </c:pt>
                <c:pt idx="6">
                  <c:v>Partidos Políticos</c:v>
                </c:pt>
                <c:pt idx="7">
                  <c:v>Sindicatos</c:v>
                </c:pt>
              </c:strCache>
            </c:strRef>
          </c:cat>
          <c:val>
            <c:numRef>
              <c:f>Hoja1!$E$2:$E$10</c:f>
              <c:numCache>
                <c:formatCode>General</c:formatCode>
                <c:ptCount val="9"/>
                <c:pt idx="0">
                  <c:v>1</c:v>
                </c:pt>
                <c:pt idx="1">
                  <c:v>6</c:v>
                </c:pt>
                <c:pt idx="6">
                  <c:v>5</c:v>
                </c:pt>
                <c:pt idx="7">
                  <c:v>16</c:v>
                </c:pt>
              </c:numCache>
            </c:numRef>
          </c:val>
          <c:extLst>
            <c:ext xmlns:c16="http://schemas.microsoft.com/office/drawing/2014/chart" uri="{C3380CC4-5D6E-409C-BE32-E72D297353CC}">
              <c16:uniqueId val="{00000002-811A-1748-A01B-655F3D4CF3A6}"/>
            </c:ext>
          </c:extLst>
        </c:ser>
        <c:ser>
          <c:idx val="4"/>
          <c:order val="3"/>
          <c:tx>
            <c:strRef>
              <c:f>Hoja1!$F$1</c:f>
              <c:strCache>
                <c:ptCount val="1"/>
                <c:pt idx="0">
                  <c:v>Incumplimiento total (0 puntos) </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Hoja1!$A$2:$A$10</c:f>
              <c:strCache>
                <c:ptCount val="8"/>
                <c:pt idx="0">
                  <c:v>Administración Pública Centralizada</c:v>
                </c:pt>
                <c:pt idx="1">
                  <c:v>Desconcentrados y Paraestatales Descentralizados, Auxiliares</c:v>
                </c:pt>
                <c:pt idx="2">
                  <c:v>Demarcaciones Políticas / Alcaldías</c:v>
                </c:pt>
                <c:pt idx="3">
                  <c:v>Poder Legislativo</c:v>
                </c:pt>
                <c:pt idx="4">
                  <c:v>Poder Judicial</c:v>
                </c:pt>
                <c:pt idx="5">
                  <c:v>Órganos Autónomos</c:v>
                </c:pt>
                <c:pt idx="6">
                  <c:v>Partidos Políticos</c:v>
                </c:pt>
                <c:pt idx="7">
                  <c:v>Sindicatos</c:v>
                </c:pt>
              </c:strCache>
            </c:strRef>
          </c:cat>
          <c:val>
            <c:numRef>
              <c:f>Hoja1!$F$2:$F$10</c:f>
              <c:numCache>
                <c:formatCode>General</c:formatCode>
                <c:ptCount val="9"/>
              </c:numCache>
            </c:numRef>
          </c:val>
          <c:extLst>
            <c:ext xmlns:c16="http://schemas.microsoft.com/office/drawing/2014/chart" uri="{C3380CC4-5D6E-409C-BE32-E72D297353CC}">
              <c16:uniqueId val="{00000003-811A-1748-A01B-655F3D4CF3A6}"/>
            </c:ext>
          </c:extLst>
        </c:ser>
        <c:dLbls>
          <c:dLblPos val="ctr"/>
          <c:showLegendKey val="0"/>
          <c:showVal val="1"/>
          <c:showCatName val="0"/>
          <c:showSerName val="0"/>
          <c:showPercent val="0"/>
          <c:showBubbleSize val="0"/>
        </c:dLbls>
        <c:gapWidth val="150"/>
        <c:overlap val="100"/>
        <c:axId val="635180495"/>
        <c:axId val="671965999"/>
      </c:barChart>
      <c:catAx>
        <c:axId val="635180495"/>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71965999"/>
        <c:crosses val="autoZero"/>
        <c:auto val="1"/>
        <c:lblAlgn val="ctr"/>
        <c:lblOffset val="100"/>
        <c:noMultiLvlLbl val="0"/>
      </c:catAx>
      <c:valAx>
        <c:axId val="671965999"/>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351804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Arial" panose="020B0604020202020204" pitchFamily="34" charset="0"/>
                <a:ea typeface="+mn-ea"/>
                <a:cs typeface="Arial" panose="020B0604020202020204" pitchFamily="34" charset="0"/>
              </a:defRPr>
            </a:pPr>
            <a:r>
              <a:rPr lang="es-MX"/>
              <a:t>Comparativo de resultados de la 1a y 3a Evaluación Vinculante por ámbito</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s-MX"/>
        </a:p>
      </c:txPr>
    </c:title>
    <c:autoTitleDeleted val="0"/>
    <c:plotArea>
      <c:layout/>
      <c:barChart>
        <c:barDir val="col"/>
        <c:grouping val="clustered"/>
        <c:varyColors val="0"/>
        <c:ser>
          <c:idx val="0"/>
          <c:order val="0"/>
          <c:tx>
            <c:strRef>
              <c:f>Hoja1!$B$1</c:f>
              <c:strCache>
                <c:ptCount val="1"/>
                <c:pt idx="0">
                  <c:v>1° Evaluación ICP</c:v>
                </c:pt>
              </c:strCache>
            </c:strRef>
          </c:tx>
          <c:spPr>
            <a:solidFill>
              <a:schemeClr val="accent5"/>
            </a:soli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Hoja1!$A$2:$A$9</c:f>
              <c:strCache>
                <c:ptCount val="8"/>
                <c:pt idx="0">
                  <c:v>Administración Pública Centralizada</c:v>
                </c:pt>
                <c:pt idx="1">
                  <c:v>Desconcentrados y Paraestatales Descentralizados, Auxiliares</c:v>
                </c:pt>
                <c:pt idx="2">
                  <c:v>Demarcaciones Territoriales / Alcaldías</c:v>
                </c:pt>
                <c:pt idx="3">
                  <c:v>Poder Legislativo</c:v>
                </c:pt>
                <c:pt idx="4">
                  <c:v>Poder Judicial</c:v>
                </c:pt>
                <c:pt idx="5">
                  <c:v>Órganos Autónomos</c:v>
                </c:pt>
                <c:pt idx="6">
                  <c:v>Partidos Políticos</c:v>
                </c:pt>
                <c:pt idx="7">
                  <c:v>Sindicatos</c:v>
                </c:pt>
              </c:strCache>
            </c:strRef>
          </c:cat>
          <c:val>
            <c:numRef>
              <c:f>Hoja1!$B$2:$B$9</c:f>
              <c:numCache>
                <c:formatCode>General</c:formatCode>
                <c:ptCount val="8"/>
                <c:pt idx="0">
                  <c:v>80.13</c:v>
                </c:pt>
                <c:pt idx="1">
                  <c:v>69.64</c:v>
                </c:pt>
                <c:pt idx="2">
                  <c:v>60.03</c:v>
                </c:pt>
                <c:pt idx="3">
                  <c:v>57.96</c:v>
                </c:pt>
                <c:pt idx="4">
                  <c:v>96.4</c:v>
                </c:pt>
                <c:pt idx="5">
                  <c:v>86.15</c:v>
                </c:pt>
                <c:pt idx="6">
                  <c:v>64.89</c:v>
                </c:pt>
                <c:pt idx="7">
                  <c:v>24.81</c:v>
                </c:pt>
              </c:numCache>
            </c:numRef>
          </c:val>
          <c:extLst>
            <c:ext xmlns:c16="http://schemas.microsoft.com/office/drawing/2014/chart" uri="{C3380CC4-5D6E-409C-BE32-E72D297353CC}">
              <c16:uniqueId val="{00000000-3A92-AE4E-8F44-24C4CA8C9A05}"/>
            </c:ext>
          </c:extLst>
        </c:ser>
        <c:ser>
          <c:idx val="1"/>
          <c:order val="1"/>
          <c:tx>
            <c:strRef>
              <c:f>Hoja1!$C$1</c:f>
              <c:strCache>
                <c:ptCount val="1"/>
                <c:pt idx="0">
                  <c:v>3° Evaluación ICP</c:v>
                </c:pt>
              </c:strCache>
            </c:strRef>
          </c:tx>
          <c:spPr>
            <a:solidFill>
              <a:schemeClr val="accent2"/>
            </a:soli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Hoja1!$A$2:$A$9</c:f>
              <c:strCache>
                <c:ptCount val="8"/>
                <c:pt idx="0">
                  <c:v>Administración Pública Centralizada</c:v>
                </c:pt>
                <c:pt idx="1">
                  <c:v>Desconcentrados y Paraestatales Descentralizados, Auxiliares</c:v>
                </c:pt>
                <c:pt idx="2">
                  <c:v>Demarcaciones Territoriales / Alcaldías</c:v>
                </c:pt>
                <c:pt idx="3">
                  <c:v>Poder Legislativo</c:v>
                </c:pt>
                <c:pt idx="4">
                  <c:v>Poder Judicial</c:v>
                </c:pt>
                <c:pt idx="5">
                  <c:v>Órganos Autónomos</c:v>
                </c:pt>
                <c:pt idx="6">
                  <c:v>Partidos Políticos</c:v>
                </c:pt>
                <c:pt idx="7">
                  <c:v>Sindicatos</c:v>
                </c:pt>
              </c:strCache>
            </c:strRef>
          </c:cat>
          <c:val>
            <c:numRef>
              <c:f>Hoja1!$C$2:$C$9</c:f>
              <c:numCache>
                <c:formatCode>General</c:formatCode>
                <c:ptCount val="8"/>
                <c:pt idx="0">
                  <c:v>94.13</c:v>
                </c:pt>
                <c:pt idx="1">
                  <c:v>85.47</c:v>
                </c:pt>
                <c:pt idx="2">
                  <c:v>90.8</c:v>
                </c:pt>
                <c:pt idx="3">
                  <c:v>98.18</c:v>
                </c:pt>
                <c:pt idx="4">
                  <c:v>99.4</c:v>
                </c:pt>
                <c:pt idx="5">
                  <c:v>94.16</c:v>
                </c:pt>
                <c:pt idx="6">
                  <c:v>60.9</c:v>
                </c:pt>
                <c:pt idx="7">
                  <c:v>37.700000000000003</c:v>
                </c:pt>
              </c:numCache>
            </c:numRef>
          </c:val>
          <c:extLst>
            <c:ext xmlns:c16="http://schemas.microsoft.com/office/drawing/2014/chart" uri="{C3380CC4-5D6E-409C-BE32-E72D297353CC}">
              <c16:uniqueId val="{00000001-3A92-AE4E-8F44-24C4CA8C9A05}"/>
            </c:ext>
          </c:extLst>
        </c:ser>
        <c:dLbls>
          <c:dLblPos val="outEnd"/>
          <c:showLegendKey val="0"/>
          <c:showVal val="1"/>
          <c:showCatName val="0"/>
          <c:showSerName val="0"/>
          <c:showPercent val="0"/>
          <c:showBubbleSize val="0"/>
        </c:dLbls>
        <c:gapWidth val="100"/>
        <c:overlap val="-24"/>
        <c:axId val="1082515728"/>
        <c:axId val="1082517360"/>
      </c:barChart>
      <c:catAx>
        <c:axId val="108251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s-MX"/>
          </a:p>
        </c:txPr>
        <c:crossAx val="1082517360"/>
        <c:crosses val="autoZero"/>
        <c:auto val="1"/>
        <c:lblAlgn val="ctr"/>
        <c:lblOffset val="100"/>
        <c:noMultiLvlLbl val="0"/>
      </c:catAx>
      <c:valAx>
        <c:axId val="1082517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s-MX"/>
          </a:p>
        </c:txPr>
        <c:crossAx val="1082515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54858EAC00804CB39609674A8F89E7"/>
        <w:category>
          <w:name w:val="General"/>
          <w:gallery w:val="placeholder"/>
        </w:category>
        <w:types>
          <w:type w:val="bbPlcHdr"/>
        </w:types>
        <w:behaviors>
          <w:behavior w:val="content"/>
        </w:behaviors>
        <w:guid w:val="{D4B14F50-DDCC-4A49-BE64-A398CA2CBC80}"/>
      </w:docPartPr>
      <w:docPartBody>
        <w:p w:rsidR="005F6E90" w:rsidRDefault="00B60351" w:rsidP="00B60351">
          <w:pPr>
            <w:pStyle w:val="0554858EAC00804CB39609674A8F89E7"/>
          </w:pPr>
          <w:r>
            <w:rPr>
              <w:rStyle w:val="Textodemarcadordeposicin"/>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51"/>
    <w:rsid w:val="0011066F"/>
    <w:rsid w:val="003B21F8"/>
    <w:rsid w:val="00475793"/>
    <w:rsid w:val="005F6E90"/>
    <w:rsid w:val="00652D1F"/>
    <w:rsid w:val="006C1B43"/>
    <w:rsid w:val="006F5CF5"/>
    <w:rsid w:val="008E1DC8"/>
    <w:rsid w:val="0091056B"/>
    <w:rsid w:val="00B027A7"/>
    <w:rsid w:val="00B0585B"/>
    <w:rsid w:val="00B60351"/>
    <w:rsid w:val="00EA0AFB"/>
    <w:rsid w:val="00EB2381"/>
    <w:rsid w:val="00F103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B60351"/>
    <w:rPr>
      <w:color w:val="808080"/>
    </w:rPr>
  </w:style>
  <w:style w:type="paragraph" w:customStyle="1" w:styleId="0554858EAC00804CB39609674A8F89E7">
    <w:name w:val="0554858EAC00804CB39609674A8F89E7"/>
    <w:rsid w:val="00B60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CF23D-E1C3-F74F-AD9B-0BD30600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77</Pages>
  <Words>16704</Words>
  <Characters>91872</Characters>
  <Application>Microsoft Office Word</Application>
  <DocSecurity>0</DocSecurity>
  <Lines>765</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Estado Abierto, Estudios y Evaluación</dc:creator>
  <cp:keywords/>
  <dc:description/>
  <cp:lastModifiedBy>Aldo Antonio Trapero Maldonado</cp:lastModifiedBy>
  <cp:revision>15</cp:revision>
  <dcterms:created xsi:type="dcterms:W3CDTF">2019-12-06T20:24:00Z</dcterms:created>
  <dcterms:modified xsi:type="dcterms:W3CDTF">2019-12-12T18:22:00Z</dcterms:modified>
</cp:coreProperties>
</file>